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36FBE" w14:textId="5FE3766D" w:rsidR="00E90E49" w:rsidRPr="00087AB3" w:rsidRDefault="00E90E49" w:rsidP="009C54D2">
      <w:pPr>
        <w:pStyle w:val="3GPPHeader"/>
        <w:spacing w:after="60"/>
        <w:rPr>
          <w:sz w:val="32"/>
          <w:szCs w:val="32"/>
          <w:highlight w:val="yellow"/>
        </w:rPr>
      </w:pPr>
      <w:bookmarkStart w:id="0" w:name="_Hlk89897900"/>
      <w:r w:rsidRPr="00087AB3">
        <w:t>3GPP TSG-RAN WG</w:t>
      </w:r>
      <w:r w:rsidR="008F1C4E" w:rsidRPr="00087AB3">
        <w:t>1</w:t>
      </w:r>
      <w:r w:rsidRPr="00087AB3">
        <w:t xml:space="preserve"> </w:t>
      </w:r>
      <w:r w:rsidR="008F1C4E" w:rsidRPr="00087AB3">
        <w:t xml:space="preserve">Meeting </w:t>
      </w:r>
      <w:r w:rsidRPr="00087AB3">
        <w:t>#</w:t>
      </w:r>
      <w:r w:rsidR="00D66AD1" w:rsidRPr="00087AB3">
        <w:t>10</w:t>
      </w:r>
      <w:r w:rsidR="00B24A4A">
        <w:t>8</w:t>
      </w:r>
      <w:r w:rsidR="00C14AD2" w:rsidRPr="00087AB3">
        <w:t>-e</w:t>
      </w:r>
      <w:r w:rsidRPr="00087AB3">
        <w:tab/>
      </w:r>
      <w:bookmarkStart w:id="1" w:name="_Hlk83991978"/>
      <w:r w:rsidR="00091557" w:rsidRPr="00087AB3">
        <w:rPr>
          <w:sz w:val="32"/>
          <w:szCs w:val="32"/>
        </w:rPr>
        <w:t>R</w:t>
      </w:r>
      <w:r w:rsidR="008F1C4E" w:rsidRPr="00087AB3">
        <w:rPr>
          <w:sz w:val="32"/>
          <w:szCs w:val="32"/>
        </w:rPr>
        <w:t>1</w:t>
      </w:r>
      <w:r w:rsidR="00091557" w:rsidRPr="00087AB3">
        <w:rPr>
          <w:sz w:val="32"/>
          <w:szCs w:val="32"/>
        </w:rPr>
        <w:t>-</w:t>
      </w:r>
      <w:bookmarkEnd w:id="1"/>
      <w:r w:rsidR="00D05E58" w:rsidRPr="00D05E58">
        <w:rPr>
          <w:sz w:val="32"/>
          <w:szCs w:val="32"/>
        </w:rPr>
        <w:t>2202402</w:t>
      </w:r>
    </w:p>
    <w:p w14:paraId="13227BD5" w14:textId="48645428" w:rsidR="00E90E49" w:rsidRPr="00087AB3" w:rsidRDefault="00C14AD2" w:rsidP="009C54D2">
      <w:pPr>
        <w:pStyle w:val="3GPPHeader"/>
      </w:pPr>
      <w:r w:rsidRPr="00087AB3">
        <w:t>Online</w:t>
      </w:r>
      <w:r w:rsidR="0027144F" w:rsidRPr="00087AB3">
        <w:t xml:space="preserve">, </w:t>
      </w:r>
      <w:r w:rsidR="00B24A4A">
        <w:t>February</w:t>
      </w:r>
      <w:r w:rsidR="0027144F" w:rsidRPr="00087AB3">
        <w:t xml:space="preserve"> </w:t>
      </w:r>
      <w:r w:rsidR="00AE47E9">
        <w:t>21</w:t>
      </w:r>
      <w:r w:rsidR="00AE47E9">
        <w:rPr>
          <w:vertAlign w:val="superscript"/>
        </w:rPr>
        <w:t>st</w:t>
      </w:r>
      <w:r w:rsidR="001D53E7" w:rsidRPr="00087AB3">
        <w:t xml:space="preserve"> – </w:t>
      </w:r>
      <w:r w:rsidR="00AE47E9">
        <w:t xml:space="preserve">March </w:t>
      </w:r>
      <w:r w:rsidR="00F66ADA">
        <w:t>3</w:t>
      </w:r>
      <w:r w:rsidR="00F66ADA">
        <w:rPr>
          <w:vertAlign w:val="superscript"/>
        </w:rPr>
        <w:t>rd</w:t>
      </w:r>
      <w:r w:rsidR="00707939">
        <w:t xml:space="preserve">, </w:t>
      </w:r>
      <w:r w:rsidR="0027144F" w:rsidRPr="00087AB3">
        <w:t>20</w:t>
      </w:r>
      <w:r w:rsidRPr="00087AB3">
        <w:t>2</w:t>
      </w:r>
      <w:r w:rsidR="00C95948">
        <w:t>2</w:t>
      </w:r>
    </w:p>
    <w:p w14:paraId="2CF55502" w14:textId="77777777" w:rsidR="00E90E49" w:rsidRPr="00087AB3" w:rsidRDefault="00E90E49" w:rsidP="009C54D2">
      <w:pPr>
        <w:pStyle w:val="3GPPHeader"/>
      </w:pPr>
    </w:p>
    <w:p w14:paraId="5ACB08E0" w14:textId="52C1907E" w:rsidR="00E90E49" w:rsidRPr="00087AB3" w:rsidRDefault="00E90E49" w:rsidP="009C54D2">
      <w:pPr>
        <w:pStyle w:val="3GPPHeader"/>
        <w:rPr>
          <w:sz w:val="22"/>
        </w:rPr>
      </w:pPr>
      <w:r w:rsidRPr="00087AB3">
        <w:rPr>
          <w:sz w:val="22"/>
        </w:rPr>
        <w:t>Agenda Item:</w:t>
      </w:r>
      <w:r w:rsidRPr="00087AB3">
        <w:rPr>
          <w:sz w:val="22"/>
        </w:rPr>
        <w:tab/>
      </w:r>
      <w:r w:rsidR="00C14AD2" w:rsidRPr="00087AB3">
        <w:rPr>
          <w:sz w:val="22"/>
        </w:rPr>
        <w:t>8.10.1</w:t>
      </w:r>
    </w:p>
    <w:p w14:paraId="3A206516" w14:textId="77777777" w:rsidR="00E90E49" w:rsidRPr="00087AB3" w:rsidRDefault="003D3C45" w:rsidP="009C54D2">
      <w:pPr>
        <w:pStyle w:val="3GPPHeader"/>
        <w:rPr>
          <w:sz w:val="22"/>
        </w:rPr>
      </w:pPr>
      <w:r w:rsidRPr="00087AB3">
        <w:rPr>
          <w:sz w:val="22"/>
        </w:rPr>
        <w:t>Source:</w:t>
      </w:r>
      <w:r w:rsidR="00E90E49" w:rsidRPr="00087AB3">
        <w:rPr>
          <w:sz w:val="22"/>
        </w:rPr>
        <w:tab/>
      </w:r>
      <w:r w:rsidR="00F64C2B" w:rsidRPr="00087AB3">
        <w:rPr>
          <w:sz w:val="22"/>
        </w:rPr>
        <w:t>Ericsson</w:t>
      </w:r>
    </w:p>
    <w:p w14:paraId="07D2C7C6" w14:textId="0848027C" w:rsidR="00E90E49" w:rsidRPr="00087AB3" w:rsidRDefault="003D3C45" w:rsidP="009C54D2">
      <w:pPr>
        <w:pStyle w:val="3GPPHeader"/>
        <w:rPr>
          <w:sz w:val="22"/>
        </w:rPr>
      </w:pPr>
      <w:r w:rsidRPr="00087AB3">
        <w:rPr>
          <w:sz w:val="22"/>
        </w:rPr>
        <w:t>Title:</w:t>
      </w:r>
      <w:r w:rsidR="00E90E49" w:rsidRPr="00087AB3">
        <w:rPr>
          <w:sz w:val="22"/>
        </w:rPr>
        <w:tab/>
      </w:r>
      <w:r w:rsidR="00C14AD2" w:rsidRPr="00087AB3">
        <w:rPr>
          <w:sz w:val="22"/>
        </w:rPr>
        <w:t>Resource multiplexing and dual connectivity in enhanced IAB</w:t>
      </w:r>
    </w:p>
    <w:p w14:paraId="3C46B50C" w14:textId="77777777" w:rsidR="00E90E49" w:rsidRPr="00087AB3" w:rsidRDefault="00E90E49" w:rsidP="009C54D2">
      <w:pPr>
        <w:pStyle w:val="3GPPHeader"/>
        <w:rPr>
          <w:sz w:val="22"/>
        </w:rPr>
      </w:pPr>
      <w:r w:rsidRPr="00087AB3">
        <w:rPr>
          <w:sz w:val="22"/>
        </w:rPr>
        <w:t>Document for:</w:t>
      </w:r>
      <w:r w:rsidRPr="00087AB3">
        <w:rPr>
          <w:sz w:val="22"/>
        </w:rPr>
        <w:tab/>
        <w:t>Discussion, Decision</w:t>
      </w:r>
    </w:p>
    <w:p w14:paraId="7F9C5716" w14:textId="77777777" w:rsidR="00E90E49" w:rsidRPr="00087AB3" w:rsidRDefault="00E90E49" w:rsidP="009C54D2">
      <w:pPr>
        <w:jc w:val="both"/>
      </w:pPr>
    </w:p>
    <w:p w14:paraId="4B2B8E46" w14:textId="3C931CD0" w:rsidR="00124626" w:rsidRPr="00087AB3" w:rsidRDefault="00124626" w:rsidP="009C54D2">
      <w:pPr>
        <w:pStyle w:val="Heading1"/>
        <w:jc w:val="both"/>
        <w:rPr>
          <w:lang w:val="en-US"/>
        </w:rPr>
      </w:pPr>
      <w:r w:rsidRPr="00087AB3">
        <w:rPr>
          <w:lang w:val="en-US"/>
        </w:rPr>
        <w:t>Introduction</w:t>
      </w:r>
    </w:p>
    <w:p w14:paraId="49C74EF3" w14:textId="6AAC64E8" w:rsidR="00CF7B42" w:rsidRPr="00087AB3" w:rsidRDefault="00BD673D" w:rsidP="009C54D2">
      <w:pPr>
        <w:pStyle w:val="BodyText"/>
      </w:pPr>
      <w:bookmarkStart w:id="2" w:name="_Hlk74596809"/>
      <w:r w:rsidRPr="00087AB3">
        <w:rPr>
          <w:rFonts w:cs="Arial"/>
          <w:szCs w:val="20"/>
        </w:rPr>
        <w:t xml:space="preserve">The WID for enhanced IAB specifies the following </w:t>
      </w:r>
      <w:r w:rsidR="00CF7B42" w:rsidRPr="00087AB3">
        <w:rPr>
          <w:rFonts w:cs="Arial"/>
          <w:szCs w:val="20"/>
        </w:rPr>
        <w:t xml:space="preserve">objectives of IAB work item regarding resource multiplexing </w:t>
      </w:r>
      <w:r w:rsidR="00CF7B42" w:rsidRPr="00087AB3">
        <w:rPr>
          <w:rFonts w:cs="Arial"/>
          <w:szCs w:val="20"/>
        </w:rPr>
        <w:fldChar w:fldCharType="begin"/>
      </w:r>
      <w:r w:rsidR="00CF7B42" w:rsidRPr="00087AB3">
        <w:rPr>
          <w:rFonts w:cs="Arial"/>
          <w:szCs w:val="20"/>
        </w:rPr>
        <w:instrText xml:space="preserve"> REF _Ref534962701 \r \h  \* MERGEFORMAT </w:instrText>
      </w:r>
      <w:r w:rsidR="00CF7B42" w:rsidRPr="00087AB3">
        <w:rPr>
          <w:rFonts w:cs="Arial"/>
          <w:szCs w:val="20"/>
        </w:rPr>
      </w:r>
      <w:r w:rsidR="00CF7B42" w:rsidRPr="00087AB3">
        <w:rPr>
          <w:rFonts w:cs="Arial"/>
          <w:szCs w:val="20"/>
        </w:rPr>
        <w:fldChar w:fldCharType="separate"/>
      </w:r>
      <w:r w:rsidR="003B2295">
        <w:rPr>
          <w:rFonts w:cs="Arial"/>
          <w:szCs w:val="20"/>
        </w:rPr>
        <w:t>[1]</w:t>
      </w:r>
      <w:r w:rsidR="00CF7B42" w:rsidRPr="00087AB3">
        <w:rPr>
          <w:rFonts w:cs="Arial"/>
          <w:szCs w:val="20"/>
        </w:rPr>
        <w:fldChar w:fldCharType="end"/>
      </w:r>
      <w:r w:rsidR="00CF7B42" w:rsidRPr="00087AB3">
        <w:rPr>
          <w:rFonts w:cs="Arial"/>
          <w:szCs w:val="20"/>
        </w:rPr>
        <w:t>:</w:t>
      </w:r>
    </w:p>
    <w:tbl>
      <w:tblPr>
        <w:tblStyle w:val="TableGrid"/>
        <w:tblW w:w="0" w:type="auto"/>
        <w:tblLook w:val="04A0" w:firstRow="1" w:lastRow="0" w:firstColumn="1" w:lastColumn="0" w:noHBand="0" w:noVBand="1"/>
      </w:tblPr>
      <w:tblGrid>
        <w:gridCol w:w="9629"/>
      </w:tblGrid>
      <w:tr w:rsidR="00550A54" w:rsidRPr="00087AB3" w14:paraId="3772B9F3" w14:textId="77777777" w:rsidTr="00550A54">
        <w:tc>
          <w:tcPr>
            <w:tcW w:w="9629" w:type="dxa"/>
          </w:tcPr>
          <w:p w14:paraId="6C62E600" w14:textId="77777777" w:rsidR="00550A54" w:rsidRPr="00087AB3" w:rsidRDefault="00550A54" w:rsidP="009C54D2">
            <w:pPr>
              <w:pStyle w:val="BodyText"/>
              <w:rPr>
                <w:sz w:val="20"/>
                <w:szCs w:val="20"/>
              </w:rPr>
            </w:pPr>
            <w:r w:rsidRPr="00087AB3">
              <w:rPr>
                <w:sz w:val="20"/>
                <w:szCs w:val="20"/>
              </w:rPr>
              <w:t>Specification of enhancements to the resource multiplexing between child and parent links of an IAB node, including:</w:t>
            </w:r>
          </w:p>
          <w:p w14:paraId="1657FA16" w14:textId="77777777" w:rsidR="00550A54" w:rsidRPr="00087AB3" w:rsidRDefault="00550A54" w:rsidP="009C54D2">
            <w:pPr>
              <w:pStyle w:val="BodyText"/>
              <w:numPr>
                <w:ilvl w:val="0"/>
                <w:numId w:val="13"/>
              </w:numPr>
              <w:rPr>
                <w:sz w:val="20"/>
                <w:szCs w:val="20"/>
              </w:rPr>
            </w:pPr>
            <w:r w:rsidRPr="00087AB3">
              <w:rPr>
                <w:sz w:val="20"/>
                <w:szCs w:val="20"/>
              </w:rPr>
              <w:t>Support of simultaneous operation (transmission and/or reception) of IAB-node’s child and parent links (i.e., MT Tx/DU Tx, MT Tx/DU Rx, MT Rx/DU Tx, MT Rx/DU Rx).</w:t>
            </w:r>
          </w:p>
          <w:p w14:paraId="7DEE3BA2" w14:textId="75CB6113" w:rsidR="00550A54" w:rsidRPr="00087AB3" w:rsidRDefault="00550A54" w:rsidP="009C54D2">
            <w:pPr>
              <w:pStyle w:val="BodyText"/>
              <w:numPr>
                <w:ilvl w:val="0"/>
                <w:numId w:val="13"/>
              </w:numPr>
            </w:pPr>
            <w:r w:rsidRPr="00087AB3">
              <w:rPr>
                <w:sz w:val="20"/>
                <w:szCs w:val="20"/>
              </w:rPr>
              <w:t>Support for dual-connectivity scenarios defined by RAN2/RAN3 in the context of topology redundancy for improved robustness and load balancing.</w:t>
            </w:r>
          </w:p>
        </w:tc>
      </w:tr>
    </w:tbl>
    <w:bookmarkEnd w:id="2"/>
    <w:p w14:paraId="483AA0FF" w14:textId="42823192" w:rsidR="00124626" w:rsidRPr="00087AB3" w:rsidRDefault="00EF1681" w:rsidP="009C54D2">
      <w:pPr>
        <w:pStyle w:val="BodyText"/>
        <w:spacing w:before="240"/>
      </w:pPr>
      <w:r>
        <w:rPr>
          <w:rFonts w:cs="Arial"/>
          <w:szCs w:val="20"/>
        </w:rPr>
        <w:t xml:space="preserve">This contribution addresses the remaining issues on </w:t>
      </w:r>
      <w:r>
        <w:t>r</w:t>
      </w:r>
      <w:r w:rsidR="00124626" w:rsidRPr="00087AB3">
        <w:t>esource multiplexing</w:t>
      </w:r>
      <w:r w:rsidR="00853D10">
        <w:t xml:space="preserve"> between child and parent links on an IAB node.</w:t>
      </w:r>
    </w:p>
    <w:p w14:paraId="0C3F3E45" w14:textId="49ED960F" w:rsidR="00124626" w:rsidRPr="00087AB3" w:rsidRDefault="00124626" w:rsidP="009C54D2">
      <w:pPr>
        <w:pStyle w:val="Heading2"/>
        <w:jc w:val="both"/>
        <w:rPr>
          <w:lang w:val="en-US"/>
        </w:rPr>
      </w:pPr>
      <w:r w:rsidRPr="00087AB3">
        <w:rPr>
          <w:lang w:val="en-US"/>
        </w:rPr>
        <w:t>FDM-based simultaneous operation</w:t>
      </w:r>
    </w:p>
    <w:p w14:paraId="3CE9DE24" w14:textId="03E9B94F" w:rsidR="00516065" w:rsidRPr="00087AB3" w:rsidRDefault="00516065" w:rsidP="009C54D2">
      <w:pPr>
        <w:jc w:val="both"/>
        <w:rPr>
          <w:rFonts w:cs="Arial"/>
          <w:szCs w:val="20"/>
        </w:rPr>
      </w:pPr>
      <w:bookmarkStart w:id="3" w:name="_Hlk74596840"/>
      <w:r w:rsidRPr="00087AB3">
        <w:rPr>
          <w:rFonts w:cs="Arial"/>
          <w:szCs w:val="20"/>
        </w:rPr>
        <w:t>In RAN1#10</w:t>
      </w:r>
      <w:r w:rsidR="007F39DE">
        <w:rPr>
          <w:rFonts w:cs="Arial"/>
          <w:szCs w:val="20"/>
        </w:rPr>
        <w:t>7</w:t>
      </w:r>
      <w:r w:rsidR="00325ACC">
        <w:rPr>
          <w:rFonts w:cs="Arial"/>
          <w:szCs w:val="20"/>
        </w:rPr>
        <w:t>-</w:t>
      </w:r>
      <w:r w:rsidRPr="00087AB3">
        <w:rPr>
          <w:rFonts w:cs="Arial"/>
          <w:szCs w:val="20"/>
        </w:rPr>
        <w:t>e, the following objectives of frequency domain resource multiplexing were agreed</w:t>
      </w:r>
      <w:r w:rsidR="00AC404D">
        <w:rPr>
          <w:rFonts w:cs="Arial"/>
          <w:szCs w:val="20"/>
        </w:rPr>
        <w:t xml:space="preserve"> </w:t>
      </w:r>
      <w:r w:rsidR="00AC404D">
        <w:rPr>
          <w:rFonts w:cs="Arial"/>
          <w:szCs w:val="20"/>
        </w:rPr>
        <w:fldChar w:fldCharType="begin"/>
      </w:r>
      <w:r w:rsidR="00AC404D">
        <w:rPr>
          <w:rFonts w:cs="Arial"/>
          <w:szCs w:val="20"/>
        </w:rPr>
        <w:instrText xml:space="preserve"> REF _Ref85313944 \r \h </w:instrText>
      </w:r>
      <w:r w:rsidR="00AC404D">
        <w:rPr>
          <w:rFonts w:cs="Arial"/>
          <w:szCs w:val="20"/>
        </w:rPr>
      </w:r>
      <w:r w:rsidR="009C54D2">
        <w:rPr>
          <w:rFonts w:cs="Arial"/>
          <w:szCs w:val="20"/>
        </w:rPr>
        <w:instrText xml:space="preserve"> \* MERGEFORMAT </w:instrText>
      </w:r>
      <w:r w:rsidR="00AC404D">
        <w:rPr>
          <w:rFonts w:cs="Arial"/>
          <w:szCs w:val="20"/>
        </w:rPr>
        <w:fldChar w:fldCharType="separate"/>
      </w:r>
      <w:r w:rsidR="003B2295">
        <w:rPr>
          <w:rFonts w:cs="Arial"/>
          <w:szCs w:val="20"/>
        </w:rPr>
        <w:t>[2]</w:t>
      </w:r>
      <w:r w:rsidR="00AC404D">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516065" w:rsidRPr="00087AB3" w14:paraId="20E833B1" w14:textId="77777777" w:rsidTr="001F2465">
        <w:tc>
          <w:tcPr>
            <w:tcW w:w="9629" w:type="dxa"/>
          </w:tcPr>
          <w:p w14:paraId="2A6E4CEC" w14:textId="77777777" w:rsidR="003E3431" w:rsidRPr="00CA0CA5" w:rsidRDefault="003E3431" w:rsidP="003B2295">
            <w:pPr>
              <w:jc w:val="both"/>
              <w:rPr>
                <w:rFonts w:cs="Arial"/>
                <w:b/>
                <w:bCs/>
                <w:sz w:val="20"/>
                <w:szCs w:val="20"/>
                <w:lang w:val="en-GB"/>
              </w:rPr>
            </w:pPr>
            <w:r w:rsidRPr="00CA0CA5">
              <w:rPr>
                <w:rFonts w:cs="Arial"/>
                <w:b/>
                <w:bCs/>
                <w:sz w:val="20"/>
                <w:szCs w:val="20"/>
                <w:highlight w:val="green"/>
                <w:lang w:val="en-GB"/>
              </w:rPr>
              <w:t>Agreement:</w:t>
            </w:r>
            <w:r w:rsidRPr="00CA0CA5">
              <w:rPr>
                <w:rFonts w:cs="Arial"/>
                <w:b/>
                <w:bCs/>
                <w:sz w:val="20"/>
                <w:szCs w:val="20"/>
                <w:lang w:val="en-GB"/>
              </w:rPr>
              <w:t xml:space="preserve"> </w:t>
            </w:r>
          </w:p>
          <w:p w14:paraId="6489D1D9" w14:textId="77777777" w:rsidR="003E3431" w:rsidRPr="00CA0CA5" w:rsidRDefault="003E3431" w:rsidP="003B2295">
            <w:pPr>
              <w:jc w:val="both"/>
              <w:rPr>
                <w:rFonts w:cs="Arial"/>
                <w:sz w:val="20"/>
                <w:szCs w:val="20"/>
                <w:lang w:val="en-GB"/>
              </w:rPr>
            </w:pPr>
            <w:r w:rsidRPr="00CA0CA5">
              <w:rPr>
                <w:rFonts w:cs="Arial"/>
                <w:sz w:val="20"/>
                <w:szCs w:val="20"/>
                <w:lang w:val="en-GB"/>
              </w:rPr>
              <w:t>The maximum number of non-overlapping RB sets configurable per DU cell is M</w:t>
            </w:r>
          </w:p>
          <w:p w14:paraId="1644630D" w14:textId="77777777" w:rsidR="003E3431" w:rsidRPr="00CA0CA5" w:rsidRDefault="003E3431" w:rsidP="003B2295">
            <w:pPr>
              <w:numPr>
                <w:ilvl w:val="0"/>
                <w:numId w:val="22"/>
              </w:numPr>
              <w:spacing w:after="0"/>
              <w:jc w:val="both"/>
              <w:rPr>
                <w:rFonts w:cs="Arial"/>
                <w:sz w:val="20"/>
                <w:szCs w:val="20"/>
                <w:lang w:val="en-GB"/>
              </w:rPr>
            </w:pPr>
            <w:r w:rsidRPr="00CA0CA5">
              <w:rPr>
                <w:rFonts w:cs="Arial"/>
                <w:sz w:val="20"/>
                <w:szCs w:val="20"/>
                <w:lang w:val="en-GB"/>
              </w:rPr>
              <w:t>where, M is to be selected from one of values from 4, 8, 16</w:t>
            </w:r>
          </w:p>
          <w:p w14:paraId="02EC3B4E" w14:textId="77777777" w:rsidR="0048752D" w:rsidRPr="00CA0CA5" w:rsidRDefault="003E3431" w:rsidP="003B2295">
            <w:pPr>
              <w:jc w:val="both"/>
              <w:rPr>
                <w:rFonts w:cs="Arial"/>
                <w:sz w:val="20"/>
                <w:szCs w:val="20"/>
                <w:lang w:val="en-GB"/>
              </w:rPr>
            </w:pPr>
            <w:r w:rsidRPr="00CA0CA5">
              <w:rPr>
                <w:rFonts w:cs="Arial"/>
                <w:sz w:val="20"/>
                <w:szCs w:val="20"/>
                <w:lang w:val="en-GB"/>
              </w:rPr>
              <w:t>DU frequency configuration information should be provided to the parent node</w:t>
            </w:r>
          </w:p>
          <w:p w14:paraId="1A7F729E" w14:textId="33233420" w:rsidR="00CE4F0E" w:rsidRPr="00CA0CA5" w:rsidRDefault="00CE4F0E" w:rsidP="003B2295">
            <w:pPr>
              <w:jc w:val="both"/>
              <w:rPr>
                <w:rFonts w:cs="Arial"/>
                <w:sz w:val="20"/>
                <w:szCs w:val="20"/>
                <w:lang w:val="en-GB"/>
              </w:rPr>
            </w:pPr>
            <w:r w:rsidRPr="00CA0CA5">
              <w:rPr>
                <w:rFonts w:cs="Arial"/>
                <w:b/>
                <w:bCs/>
                <w:sz w:val="20"/>
                <w:szCs w:val="20"/>
                <w:highlight w:val="green"/>
                <w:lang w:val="en-GB"/>
              </w:rPr>
              <w:t>Agreement</w:t>
            </w:r>
            <w:r w:rsidRPr="00CA0CA5">
              <w:rPr>
                <w:rFonts w:cs="Arial"/>
                <w:b/>
                <w:bCs/>
                <w:sz w:val="20"/>
                <w:szCs w:val="20"/>
                <w:lang w:val="en-GB"/>
              </w:rPr>
              <w:t>:</w:t>
            </w:r>
          </w:p>
          <w:p w14:paraId="6A357C23" w14:textId="19E7802C" w:rsidR="00CE4F0E" w:rsidRPr="00CE4F0E" w:rsidRDefault="00CE4F0E" w:rsidP="003B2295">
            <w:pPr>
              <w:jc w:val="both"/>
              <w:rPr>
                <w:rFonts w:cs="Arial"/>
                <w:szCs w:val="20"/>
                <w:lang w:val="en-GB"/>
              </w:rPr>
            </w:pPr>
            <w:r w:rsidRPr="00CA0CA5">
              <w:rPr>
                <w:rFonts w:cs="Arial"/>
                <w:sz w:val="20"/>
                <w:szCs w:val="20"/>
                <w:lang w:val="en-GB"/>
              </w:rPr>
              <w:t>The value of the maximum number of contiguous and non-overlapping RB sets configurable per DU cell, M is 8. </w:t>
            </w:r>
          </w:p>
        </w:tc>
      </w:tr>
    </w:tbl>
    <w:p w14:paraId="5A1A842A" w14:textId="5A88B971" w:rsidR="00D52B0C" w:rsidRPr="00087AB3" w:rsidRDefault="00D52B0C" w:rsidP="003B2295">
      <w:pPr>
        <w:pStyle w:val="Heading3"/>
        <w:jc w:val="both"/>
        <w:rPr>
          <w:lang w:val="en-US"/>
        </w:rPr>
      </w:pPr>
      <w:bookmarkStart w:id="4" w:name="_Ref58590315"/>
      <w:r w:rsidRPr="00087AB3">
        <w:rPr>
          <w:lang w:val="en-US"/>
        </w:rPr>
        <w:t xml:space="preserve">Frequency-domain </w:t>
      </w:r>
      <w:bookmarkEnd w:id="4"/>
      <w:r w:rsidR="00AC5DF5">
        <w:rPr>
          <w:lang w:val="en-US"/>
        </w:rPr>
        <w:t>RB set configuration</w:t>
      </w:r>
    </w:p>
    <w:bookmarkEnd w:id="3"/>
    <w:p w14:paraId="27F433E5" w14:textId="0D375B72" w:rsidR="001427A6" w:rsidRDefault="00D53A0D" w:rsidP="003B2295">
      <w:pPr>
        <w:jc w:val="both"/>
        <w:rPr>
          <w:rFonts w:cs="Times"/>
          <w:szCs w:val="20"/>
          <w:lang w:val="en-GB"/>
        </w:rPr>
      </w:pPr>
      <w:r w:rsidRPr="00087AB3">
        <w:rPr>
          <w:rFonts w:cs="Arial"/>
          <w:szCs w:val="20"/>
        </w:rPr>
        <w:t>In RAN1#106</w:t>
      </w:r>
      <w:r>
        <w:rPr>
          <w:rFonts w:cs="Arial"/>
          <w:szCs w:val="20"/>
        </w:rPr>
        <w:t>bis</w:t>
      </w:r>
      <w:r w:rsidRPr="00087AB3">
        <w:rPr>
          <w:rFonts w:cs="Arial"/>
          <w:szCs w:val="20"/>
        </w:rPr>
        <w:t>-e</w:t>
      </w:r>
      <w:r>
        <w:rPr>
          <w:rFonts w:cs="Arial"/>
          <w:szCs w:val="20"/>
        </w:rPr>
        <w:t xml:space="preserve"> it was agreed that </w:t>
      </w:r>
      <w:r>
        <w:rPr>
          <w:rFonts w:cs="Times"/>
          <w:szCs w:val="20"/>
          <w:lang w:val="en-GB"/>
        </w:rPr>
        <w:t>a</w:t>
      </w:r>
      <w:r w:rsidRPr="00AC404D">
        <w:rPr>
          <w:rFonts w:cs="Times"/>
          <w:szCs w:val="20"/>
          <w:lang w:val="en-GB"/>
        </w:rPr>
        <w:t xml:space="preserve"> single value for the RB set size, N, is configured for a given IAB-DU cell’s Rel-17 frequency domain H/S/NA configuration</w:t>
      </w:r>
      <w:r>
        <w:rPr>
          <w:rFonts w:cs="Times"/>
          <w:szCs w:val="20"/>
          <w:lang w:val="en-GB"/>
        </w:rPr>
        <w:t>.</w:t>
      </w:r>
      <w:r w:rsidR="00F331CE">
        <w:rPr>
          <w:rFonts w:cs="Times"/>
          <w:szCs w:val="20"/>
          <w:lang w:val="en-GB"/>
        </w:rPr>
        <w:t xml:space="preserve"> It was further agreed in RAN1#107</w:t>
      </w:r>
      <w:r w:rsidR="00325ACC">
        <w:rPr>
          <w:rFonts w:cs="Times"/>
          <w:szCs w:val="20"/>
          <w:lang w:val="en-GB"/>
        </w:rPr>
        <w:t>-</w:t>
      </w:r>
      <w:r w:rsidR="00F331CE">
        <w:rPr>
          <w:rFonts w:cs="Times"/>
          <w:szCs w:val="20"/>
          <w:lang w:val="en-GB"/>
        </w:rPr>
        <w:t>e that the maximum number of contiguous and non-overlapping RB sets configurable per IAB-DU cell, M</w:t>
      </w:r>
      <w:r w:rsidR="00293EC9">
        <w:rPr>
          <w:rFonts w:cs="Times"/>
          <w:szCs w:val="20"/>
          <w:lang w:val="en-GB"/>
        </w:rPr>
        <w:t>,</w:t>
      </w:r>
      <w:r w:rsidR="00F331CE">
        <w:rPr>
          <w:rFonts w:cs="Times"/>
          <w:szCs w:val="20"/>
          <w:lang w:val="en-GB"/>
        </w:rPr>
        <w:t xml:space="preserve"> is 8. </w:t>
      </w:r>
      <w:r>
        <w:rPr>
          <w:rFonts w:cs="Times"/>
          <w:szCs w:val="20"/>
          <w:lang w:val="en-GB"/>
        </w:rPr>
        <w:t>Our interpretation of th</w:t>
      </w:r>
      <w:r w:rsidR="00F331CE">
        <w:rPr>
          <w:rFonts w:cs="Times"/>
          <w:szCs w:val="20"/>
          <w:lang w:val="en-GB"/>
        </w:rPr>
        <w:t>e</w:t>
      </w:r>
      <w:r>
        <w:rPr>
          <w:rFonts w:cs="Times"/>
          <w:szCs w:val="20"/>
          <w:lang w:val="en-GB"/>
        </w:rPr>
        <w:t xml:space="preserve"> agreement</w:t>
      </w:r>
      <w:r w:rsidR="00F331CE">
        <w:rPr>
          <w:rFonts w:cs="Times"/>
          <w:szCs w:val="20"/>
          <w:lang w:val="en-GB"/>
        </w:rPr>
        <w:t>s</w:t>
      </w:r>
      <w:r>
        <w:rPr>
          <w:rFonts w:cs="Times"/>
          <w:szCs w:val="20"/>
          <w:lang w:val="en-GB"/>
        </w:rPr>
        <w:t xml:space="preserve"> is that the</w:t>
      </w:r>
      <w:r w:rsidR="00131AD0">
        <w:rPr>
          <w:rFonts w:cs="Times"/>
          <w:szCs w:val="20"/>
          <w:lang w:val="en-GB"/>
        </w:rPr>
        <w:t xml:space="preserve">re is </w:t>
      </w:r>
      <w:r w:rsidR="009F71C0">
        <w:rPr>
          <w:rFonts w:cs="Times"/>
          <w:szCs w:val="20"/>
          <w:lang w:val="en-GB"/>
        </w:rPr>
        <w:t xml:space="preserve">only </w:t>
      </w:r>
      <w:r w:rsidR="00131AD0">
        <w:rPr>
          <w:rFonts w:cs="Times"/>
          <w:szCs w:val="20"/>
          <w:lang w:val="en-GB"/>
        </w:rPr>
        <w:t>one</w:t>
      </w:r>
      <w:r>
        <w:rPr>
          <w:rFonts w:cs="Times"/>
          <w:szCs w:val="20"/>
          <w:lang w:val="en-GB"/>
        </w:rPr>
        <w:t xml:space="preserve"> configuration of RB sets over the entire IAB-DU cell</w:t>
      </w:r>
      <w:r w:rsidR="00575A83">
        <w:rPr>
          <w:rFonts w:cs="Times"/>
          <w:szCs w:val="20"/>
          <w:lang w:val="en-GB"/>
        </w:rPr>
        <w:t>, regardless which BWP is activated for the IAB-MT.</w:t>
      </w:r>
      <w:r w:rsidR="00080B97">
        <w:rPr>
          <w:rFonts w:cs="Times"/>
          <w:szCs w:val="20"/>
          <w:lang w:val="en-GB"/>
        </w:rPr>
        <w:t xml:space="preserve"> However, RAN1 has not discussed the starting frequency location (i.e., the starting RB) for the first RB set; </w:t>
      </w:r>
      <w:r w:rsidR="00293EC9">
        <w:rPr>
          <w:rFonts w:cs="Times"/>
          <w:szCs w:val="20"/>
          <w:lang w:val="en-GB"/>
        </w:rPr>
        <w:t>nor has it been discussed</w:t>
      </w:r>
      <w:r w:rsidR="00080B97">
        <w:rPr>
          <w:rFonts w:cs="Times"/>
          <w:szCs w:val="20"/>
          <w:lang w:val="en-GB"/>
        </w:rPr>
        <w:t xml:space="preserve"> </w:t>
      </w:r>
      <w:proofErr w:type="gramStart"/>
      <w:r w:rsidR="00080B97">
        <w:rPr>
          <w:rFonts w:cs="Times"/>
          <w:szCs w:val="20"/>
          <w:lang w:val="en-GB"/>
        </w:rPr>
        <w:t>whether or not</w:t>
      </w:r>
      <w:proofErr w:type="gramEnd"/>
      <w:r w:rsidR="00080B97">
        <w:rPr>
          <w:rFonts w:cs="Times"/>
          <w:szCs w:val="20"/>
          <w:lang w:val="en-GB"/>
        </w:rPr>
        <w:t xml:space="preserve"> the entire IAB-DU cell should </w:t>
      </w:r>
      <w:r w:rsidR="00080B97">
        <w:rPr>
          <w:rFonts w:cs="Times"/>
          <w:szCs w:val="20"/>
          <w:lang w:val="en-GB"/>
        </w:rPr>
        <w:lastRenderedPageBreak/>
        <w:t>be mapped to one or multiple RB sets.</w:t>
      </w:r>
      <w:r w:rsidR="001427A6">
        <w:rPr>
          <w:rFonts w:cs="Times"/>
          <w:szCs w:val="20"/>
          <w:lang w:val="en-GB"/>
        </w:rPr>
        <w:t xml:space="preserve"> </w:t>
      </w:r>
      <w:r w:rsidR="00274F3B">
        <w:rPr>
          <w:rFonts w:cs="Times"/>
          <w:szCs w:val="20"/>
          <w:lang w:val="en-GB"/>
        </w:rPr>
        <w:fldChar w:fldCharType="begin"/>
      </w:r>
      <w:r w:rsidR="00274F3B">
        <w:rPr>
          <w:rFonts w:cs="Times"/>
          <w:szCs w:val="20"/>
          <w:lang w:val="en-GB"/>
        </w:rPr>
        <w:instrText xml:space="preserve"> REF _Ref89774126 \h </w:instrText>
      </w:r>
      <w:r w:rsidR="00274F3B">
        <w:rPr>
          <w:rFonts w:cs="Times"/>
          <w:szCs w:val="20"/>
          <w:lang w:val="en-GB"/>
        </w:rPr>
      </w:r>
      <w:r w:rsidR="009C54D2">
        <w:rPr>
          <w:rFonts w:cs="Times"/>
          <w:szCs w:val="20"/>
          <w:lang w:val="en-GB"/>
        </w:rPr>
        <w:instrText xml:space="preserve"> \* MERGEFORMAT </w:instrText>
      </w:r>
      <w:r w:rsidR="00274F3B">
        <w:rPr>
          <w:rFonts w:cs="Times"/>
          <w:szCs w:val="20"/>
          <w:lang w:val="en-GB"/>
        </w:rPr>
        <w:fldChar w:fldCharType="separate"/>
      </w:r>
      <w:r w:rsidR="003B2295" w:rsidRPr="00521A4E">
        <w:t xml:space="preserve">Figure </w:t>
      </w:r>
      <w:r w:rsidR="003B2295">
        <w:rPr>
          <w:noProof/>
        </w:rPr>
        <w:t>1</w:t>
      </w:r>
      <w:r w:rsidR="00274F3B">
        <w:rPr>
          <w:rFonts w:cs="Times"/>
          <w:szCs w:val="20"/>
          <w:lang w:val="en-GB"/>
        </w:rPr>
        <w:fldChar w:fldCharType="end"/>
      </w:r>
      <w:r w:rsidR="00274F3B">
        <w:rPr>
          <w:rFonts w:cs="Times"/>
          <w:szCs w:val="20"/>
          <w:lang w:val="en-GB"/>
        </w:rPr>
        <w:t xml:space="preserve"> illustrates two</w:t>
      </w:r>
      <w:r w:rsidR="007D0B13">
        <w:rPr>
          <w:rFonts w:cs="Times"/>
          <w:szCs w:val="20"/>
          <w:lang w:val="en-GB"/>
        </w:rPr>
        <w:t xml:space="preserve"> method</w:t>
      </w:r>
      <w:r w:rsidR="00274F3B">
        <w:rPr>
          <w:rFonts w:cs="Times"/>
          <w:szCs w:val="20"/>
          <w:lang w:val="en-GB"/>
        </w:rPr>
        <w:t xml:space="preserve">s to specify the frequency start of the RB sets: 1) If RB sets are configured for the entire IAB-DU cell (see </w:t>
      </w:r>
      <w:r w:rsidR="00274F3B">
        <w:rPr>
          <w:rFonts w:cs="Times"/>
          <w:szCs w:val="20"/>
          <w:lang w:val="en-GB"/>
        </w:rPr>
        <w:fldChar w:fldCharType="begin"/>
      </w:r>
      <w:r w:rsidR="00274F3B">
        <w:rPr>
          <w:rFonts w:cs="Times"/>
          <w:szCs w:val="20"/>
          <w:lang w:val="en-GB"/>
        </w:rPr>
        <w:instrText xml:space="preserve"> REF _Ref89774126 \h </w:instrText>
      </w:r>
      <w:r w:rsidR="00274F3B">
        <w:rPr>
          <w:rFonts w:cs="Times"/>
          <w:szCs w:val="20"/>
          <w:lang w:val="en-GB"/>
        </w:rPr>
      </w:r>
      <w:r w:rsidR="009C54D2">
        <w:rPr>
          <w:rFonts w:cs="Times"/>
          <w:szCs w:val="20"/>
          <w:lang w:val="en-GB"/>
        </w:rPr>
        <w:instrText xml:space="preserve"> \* MERGEFORMAT </w:instrText>
      </w:r>
      <w:r w:rsidR="00274F3B">
        <w:rPr>
          <w:rFonts w:cs="Times"/>
          <w:szCs w:val="20"/>
          <w:lang w:val="en-GB"/>
        </w:rPr>
        <w:fldChar w:fldCharType="separate"/>
      </w:r>
      <w:r w:rsidR="003B2295" w:rsidRPr="00521A4E">
        <w:t xml:space="preserve">Figure </w:t>
      </w:r>
      <w:r w:rsidR="003B2295">
        <w:rPr>
          <w:noProof/>
        </w:rPr>
        <w:t>1</w:t>
      </w:r>
      <w:r w:rsidR="00274F3B">
        <w:rPr>
          <w:rFonts w:cs="Times"/>
          <w:szCs w:val="20"/>
          <w:lang w:val="en-GB"/>
        </w:rPr>
        <w:fldChar w:fldCharType="end"/>
      </w:r>
      <w:r w:rsidR="00274F3B">
        <w:rPr>
          <w:rFonts w:cs="Times"/>
          <w:szCs w:val="20"/>
          <w:lang w:val="en-GB"/>
        </w:rPr>
        <w:t xml:space="preserve">a), the starting RB of the first RB set coincides with the starting RB of the IAB-DU cell; 2) If RB sets are configured for the union of the configured IAB-MT BWPs (see </w:t>
      </w:r>
      <w:r w:rsidR="00274F3B">
        <w:rPr>
          <w:rFonts w:cs="Times"/>
          <w:szCs w:val="20"/>
          <w:lang w:val="en-GB"/>
        </w:rPr>
        <w:fldChar w:fldCharType="begin"/>
      </w:r>
      <w:r w:rsidR="00274F3B">
        <w:rPr>
          <w:rFonts w:cs="Times"/>
          <w:szCs w:val="20"/>
          <w:lang w:val="en-GB"/>
        </w:rPr>
        <w:instrText xml:space="preserve"> REF _Ref89774126 \h </w:instrText>
      </w:r>
      <w:r w:rsidR="00274F3B">
        <w:rPr>
          <w:rFonts w:cs="Times"/>
          <w:szCs w:val="20"/>
          <w:lang w:val="en-GB"/>
        </w:rPr>
      </w:r>
      <w:r w:rsidR="009C54D2">
        <w:rPr>
          <w:rFonts w:cs="Times"/>
          <w:szCs w:val="20"/>
          <w:lang w:val="en-GB"/>
        </w:rPr>
        <w:instrText xml:space="preserve"> \* MERGEFORMAT </w:instrText>
      </w:r>
      <w:r w:rsidR="00274F3B">
        <w:rPr>
          <w:rFonts w:cs="Times"/>
          <w:szCs w:val="20"/>
          <w:lang w:val="en-GB"/>
        </w:rPr>
        <w:fldChar w:fldCharType="separate"/>
      </w:r>
      <w:r w:rsidR="003B2295" w:rsidRPr="00521A4E">
        <w:t xml:space="preserve">Figure </w:t>
      </w:r>
      <w:r w:rsidR="003B2295">
        <w:rPr>
          <w:noProof/>
        </w:rPr>
        <w:t>1</w:t>
      </w:r>
      <w:r w:rsidR="00274F3B">
        <w:rPr>
          <w:rFonts w:cs="Times"/>
          <w:szCs w:val="20"/>
          <w:lang w:val="en-GB"/>
        </w:rPr>
        <w:fldChar w:fldCharType="end"/>
      </w:r>
      <w:r w:rsidR="00274F3B">
        <w:rPr>
          <w:rFonts w:cs="Times"/>
          <w:szCs w:val="20"/>
          <w:lang w:val="en-GB"/>
        </w:rPr>
        <w:t xml:space="preserve">b), the starting RB of the first RB set coincides with starting RB of the union of the configured IAB-MT BWPs. </w:t>
      </w:r>
      <w:r w:rsidR="004863DE">
        <w:rPr>
          <w:rFonts w:cs="Times"/>
          <w:szCs w:val="20"/>
          <w:lang w:val="en-GB"/>
        </w:rPr>
        <w:t>It</w:t>
      </w:r>
      <w:r w:rsidR="003268F4">
        <w:rPr>
          <w:rFonts w:cs="Times"/>
          <w:szCs w:val="20"/>
          <w:lang w:val="en-GB"/>
        </w:rPr>
        <w:t xml:space="preserve"> is</w:t>
      </w:r>
      <w:r w:rsidR="004863DE">
        <w:rPr>
          <w:rFonts w:cs="Times"/>
          <w:szCs w:val="20"/>
          <w:lang w:val="en-GB"/>
        </w:rPr>
        <w:t xml:space="preserve"> noted that</w:t>
      </w:r>
      <w:r w:rsidR="001427A6">
        <w:rPr>
          <w:rFonts w:cs="Times"/>
          <w:szCs w:val="20"/>
          <w:lang w:val="en-GB"/>
        </w:rPr>
        <w:t xml:space="preserve"> f</w:t>
      </w:r>
      <w:r w:rsidR="00131AD0">
        <w:rPr>
          <w:rFonts w:cs="Times"/>
          <w:szCs w:val="20"/>
          <w:lang w:val="en-GB"/>
        </w:rPr>
        <w:t xml:space="preserve">or </w:t>
      </w:r>
      <w:r w:rsidR="007D5C0A">
        <w:rPr>
          <w:rFonts w:cs="Times"/>
          <w:szCs w:val="20"/>
          <w:lang w:val="en-GB"/>
        </w:rPr>
        <w:t xml:space="preserve">an </w:t>
      </w:r>
      <w:r w:rsidR="00131AD0">
        <w:rPr>
          <w:rFonts w:cs="Times"/>
          <w:szCs w:val="20"/>
          <w:lang w:val="en-GB"/>
        </w:rPr>
        <w:t>IAB-DU resource</w:t>
      </w:r>
      <w:r w:rsidR="009F71C0">
        <w:rPr>
          <w:rFonts w:cs="Times"/>
          <w:szCs w:val="20"/>
          <w:lang w:val="en-GB"/>
        </w:rPr>
        <w:t xml:space="preserve"> which </w:t>
      </w:r>
      <w:r w:rsidR="00131AD0">
        <w:rPr>
          <w:rFonts w:cs="Times"/>
          <w:szCs w:val="20"/>
          <w:lang w:val="en-GB"/>
        </w:rPr>
        <w:t xml:space="preserve">is </w:t>
      </w:r>
      <w:r w:rsidR="0031342B">
        <w:rPr>
          <w:rFonts w:cs="Times"/>
          <w:szCs w:val="20"/>
          <w:lang w:val="en-GB"/>
        </w:rPr>
        <w:t>not overlapping with</w:t>
      </w:r>
      <w:r w:rsidR="00131AD0">
        <w:rPr>
          <w:rFonts w:cs="Times"/>
          <w:szCs w:val="20"/>
          <w:lang w:val="en-GB"/>
        </w:rPr>
        <w:t xml:space="preserve"> the </w:t>
      </w:r>
      <w:r w:rsidR="007D5C0A">
        <w:rPr>
          <w:rFonts w:cs="Times"/>
          <w:szCs w:val="20"/>
          <w:lang w:val="en-GB"/>
        </w:rPr>
        <w:t>IAB-MT’s active</w:t>
      </w:r>
      <w:r w:rsidR="00131AD0">
        <w:rPr>
          <w:rFonts w:cs="Times"/>
          <w:szCs w:val="20"/>
          <w:lang w:val="en-GB"/>
        </w:rPr>
        <w:t xml:space="preserve"> BWP</w:t>
      </w:r>
      <w:r w:rsidR="009F71C0">
        <w:rPr>
          <w:rFonts w:cs="Times"/>
          <w:szCs w:val="20"/>
          <w:lang w:val="en-GB"/>
        </w:rPr>
        <w:t>s, there is no need to coordinate IAB-MT and IAB-DU resources by providing H/S/NA configurations</w:t>
      </w:r>
      <w:r w:rsidR="00F331CE">
        <w:rPr>
          <w:rFonts w:cs="Times"/>
          <w:szCs w:val="20"/>
          <w:lang w:val="en-GB"/>
        </w:rPr>
        <w:t>.</w:t>
      </w:r>
      <w:r w:rsidR="007D0B13">
        <w:rPr>
          <w:rFonts w:cs="Times"/>
          <w:szCs w:val="20"/>
          <w:lang w:val="en-GB"/>
        </w:rPr>
        <w:t xml:space="preserve"> </w:t>
      </w:r>
      <w:r w:rsidR="00F331CE">
        <w:rPr>
          <w:rFonts w:cs="Times"/>
          <w:szCs w:val="20"/>
          <w:lang w:val="en-GB"/>
        </w:rPr>
        <w:t>Similarly</w:t>
      </w:r>
      <w:r w:rsidR="004863DE">
        <w:rPr>
          <w:rFonts w:cs="Times"/>
          <w:szCs w:val="20"/>
          <w:lang w:val="en-GB"/>
        </w:rPr>
        <w:t xml:space="preserve">, for RB sets which are </w:t>
      </w:r>
      <w:r w:rsidR="009630AB">
        <w:rPr>
          <w:rFonts w:cs="Times"/>
          <w:szCs w:val="20"/>
          <w:lang w:val="en-GB"/>
        </w:rPr>
        <w:t>non-</w:t>
      </w:r>
      <w:r w:rsidR="004863DE">
        <w:rPr>
          <w:rFonts w:cs="Times"/>
          <w:szCs w:val="20"/>
          <w:lang w:val="en-GB"/>
        </w:rPr>
        <w:t>overlapping with the IAB-MT</w:t>
      </w:r>
      <w:r w:rsidR="009630AB">
        <w:rPr>
          <w:rFonts w:cs="Times"/>
          <w:szCs w:val="20"/>
          <w:lang w:val="en-GB"/>
        </w:rPr>
        <w:t>’s active</w:t>
      </w:r>
      <w:r w:rsidR="004863DE">
        <w:rPr>
          <w:rFonts w:cs="Times"/>
          <w:szCs w:val="20"/>
          <w:lang w:val="en-GB"/>
        </w:rPr>
        <w:t xml:space="preserve"> BWP, it is not necessary for the IAB-DU to adhere </w:t>
      </w:r>
      <w:r w:rsidR="009630AB">
        <w:rPr>
          <w:rFonts w:cs="Times"/>
          <w:szCs w:val="20"/>
          <w:lang w:val="en-GB"/>
        </w:rPr>
        <w:t xml:space="preserve">to </w:t>
      </w:r>
      <w:r w:rsidR="004863DE">
        <w:rPr>
          <w:rFonts w:cs="Times"/>
          <w:szCs w:val="20"/>
          <w:lang w:val="en-GB"/>
        </w:rPr>
        <w:t>the configured frequency domain H/S/NA</w:t>
      </w:r>
      <w:r w:rsidR="00134306">
        <w:rPr>
          <w:rFonts w:cs="Times"/>
          <w:szCs w:val="20"/>
          <w:lang w:val="en-GB"/>
        </w:rPr>
        <w:t xml:space="preserve"> or even for such to be config</w:t>
      </w:r>
      <w:r w:rsidR="00E06807">
        <w:rPr>
          <w:rFonts w:cs="Times"/>
          <w:szCs w:val="20"/>
          <w:lang w:val="en-GB"/>
        </w:rPr>
        <w:t>u</w:t>
      </w:r>
      <w:r w:rsidR="00134306">
        <w:rPr>
          <w:rFonts w:cs="Times"/>
          <w:szCs w:val="20"/>
          <w:lang w:val="en-GB"/>
        </w:rPr>
        <w:t>red</w:t>
      </w:r>
      <w:r w:rsidR="004863DE">
        <w:rPr>
          <w:rFonts w:cs="Times"/>
          <w:szCs w:val="20"/>
          <w:lang w:val="en-GB"/>
        </w:rPr>
        <w:t>.</w:t>
      </w:r>
      <w:r w:rsidR="0087677E">
        <w:rPr>
          <w:rFonts w:cs="Times"/>
          <w:szCs w:val="20"/>
          <w:lang w:val="en-GB"/>
        </w:rPr>
        <w:t xml:space="preserve"> These resources can be used by </w:t>
      </w:r>
      <w:r w:rsidR="00134306">
        <w:rPr>
          <w:rFonts w:cs="Times"/>
          <w:szCs w:val="20"/>
          <w:lang w:val="en-GB"/>
        </w:rPr>
        <w:t xml:space="preserve">the </w:t>
      </w:r>
      <w:r w:rsidR="0087677E">
        <w:rPr>
          <w:rFonts w:cs="Times"/>
          <w:szCs w:val="20"/>
          <w:lang w:val="en-GB"/>
        </w:rPr>
        <w:t>IAB-DU without considering the impact on the IAB-MT</w:t>
      </w:r>
      <w:r w:rsidR="00080B97">
        <w:rPr>
          <w:rFonts w:cs="Times"/>
          <w:szCs w:val="20"/>
          <w:lang w:val="en-GB"/>
        </w:rPr>
        <w:t>.</w:t>
      </w:r>
      <w:r w:rsidR="007D0B13">
        <w:rPr>
          <w:rFonts w:cs="Times"/>
          <w:szCs w:val="20"/>
          <w:lang w:val="en-GB"/>
        </w:rPr>
        <w:t xml:space="preserve"> Based on these arguments, Method 2 is preferred from the IAB-DU resource efficiency point of view. On the other hand, Method 1 has less signalling overhead since the </w:t>
      </w:r>
      <w:r w:rsidR="00FA0257">
        <w:rPr>
          <w:rFonts w:cs="Times"/>
          <w:szCs w:val="20"/>
          <w:lang w:val="en-GB"/>
        </w:rPr>
        <w:t>starting index of resource blocks</w:t>
      </w:r>
      <w:r w:rsidR="007D0B13">
        <w:rPr>
          <w:rFonts w:cs="Times"/>
          <w:szCs w:val="20"/>
          <w:lang w:val="en-GB"/>
        </w:rPr>
        <w:t xml:space="preserve"> of th</w:t>
      </w:r>
      <w:r w:rsidR="004A4D23">
        <w:rPr>
          <w:rFonts w:cs="Times"/>
          <w:szCs w:val="20"/>
          <w:lang w:val="en-GB"/>
        </w:rPr>
        <w:t>e</w:t>
      </w:r>
      <w:r w:rsidR="007D0B13">
        <w:rPr>
          <w:rFonts w:cs="Times"/>
          <w:szCs w:val="20"/>
          <w:lang w:val="en-GB"/>
        </w:rPr>
        <w:t xml:space="preserve"> IAB-DU cell is known to the IAB-DU.</w:t>
      </w:r>
    </w:p>
    <w:p w14:paraId="6813A528" w14:textId="5E297FD0" w:rsidR="00CB5B88" w:rsidRPr="008E158D" w:rsidRDefault="008E158D" w:rsidP="003B2295">
      <w:pPr>
        <w:keepNext/>
        <w:jc w:val="both"/>
        <w:rPr>
          <w:lang w:val="en-GB"/>
        </w:rPr>
      </w:pPr>
      <w:r>
        <w:rPr>
          <w:noProof/>
          <w:lang w:val="en-GB"/>
        </w:rPr>
        <w:drawing>
          <wp:inline distT="0" distB="0" distL="0" distR="0" wp14:anchorId="79192B8C" wp14:editId="63F76CEA">
            <wp:extent cx="5418000" cy="2944800"/>
            <wp:effectExtent l="0" t="0" r="0"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18000" cy="2944800"/>
                    </a:xfrm>
                    <a:prstGeom prst="rect">
                      <a:avLst/>
                    </a:prstGeom>
                  </pic:spPr>
                </pic:pic>
              </a:graphicData>
            </a:graphic>
          </wp:inline>
        </w:drawing>
      </w:r>
    </w:p>
    <w:p w14:paraId="72C741CD" w14:textId="61343A06" w:rsidR="00DD39BE" w:rsidRPr="00521A4E" w:rsidRDefault="00CB5B88" w:rsidP="003B2295">
      <w:pPr>
        <w:keepNext/>
        <w:jc w:val="both"/>
      </w:pPr>
      <w:r w:rsidRPr="00521A4E">
        <w:t>1a) RB sets are configured for the entire IAB-DU cell.</w:t>
      </w:r>
    </w:p>
    <w:p w14:paraId="12C21659" w14:textId="5503A895" w:rsidR="00CB5B88" w:rsidRPr="00521A4E" w:rsidRDefault="008E158D" w:rsidP="003B2295">
      <w:pPr>
        <w:keepNext/>
        <w:jc w:val="both"/>
      </w:pPr>
      <w:r>
        <w:rPr>
          <w:noProof/>
        </w:rPr>
        <w:drawing>
          <wp:inline distT="0" distB="0" distL="0" distR="0" wp14:anchorId="08672CD5" wp14:editId="261A2A98">
            <wp:extent cx="5407200" cy="2937600"/>
            <wp:effectExtent l="0" t="0" r="0" b="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407200" cy="2937600"/>
                    </a:xfrm>
                    <a:prstGeom prst="rect">
                      <a:avLst/>
                    </a:prstGeom>
                  </pic:spPr>
                </pic:pic>
              </a:graphicData>
            </a:graphic>
          </wp:inline>
        </w:drawing>
      </w:r>
    </w:p>
    <w:p w14:paraId="3AE00915" w14:textId="77777777" w:rsidR="00CB5B88" w:rsidRPr="00521A4E" w:rsidRDefault="00CB5B88" w:rsidP="003B2295">
      <w:pPr>
        <w:keepNext/>
        <w:jc w:val="both"/>
      </w:pPr>
      <w:r w:rsidRPr="00521A4E">
        <w:t>1b) RB sets are configured for the union of configured IAB-MT BWPs.</w:t>
      </w:r>
    </w:p>
    <w:p w14:paraId="6565081D" w14:textId="76D3F1E1" w:rsidR="00CB5B88" w:rsidRDefault="00CB5B88" w:rsidP="003B2295">
      <w:pPr>
        <w:pStyle w:val="Caption"/>
        <w:jc w:val="both"/>
        <w:rPr>
          <w:lang w:val="en-GB"/>
        </w:rPr>
      </w:pPr>
      <w:bookmarkStart w:id="5" w:name="_Ref89774126"/>
      <w:bookmarkStart w:id="6" w:name="_Ref89787343"/>
      <w:r w:rsidRPr="00521A4E">
        <w:t xml:space="preserve">Figure </w:t>
      </w:r>
      <w:r w:rsidRPr="00521A4E">
        <w:fldChar w:fldCharType="begin"/>
      </w:r>
      <w:r w:rsidRPr="00521A4E">
        <w:instrText xml:space="preserve"> SEQ Figure \* ARABIC </w:instrText>
      </w:r>
      <w:r w:rsidRPr="00521A4E">
        <w:fldChar w:fldCharType="separate"/>
      </w:r>
      <w:r w:rsidR="003B2295">
        <w:rPr>
          <w:noProof/>
        </w:rPr>
        <w:t>1</w:t>
      </w:r>
      <w:r w:rsidRPr="00521A4E">
        <w:fldChar w:fldCharType="end"/>
      </w:r>
      <w:bookmarkEnd w:id="5"/>
      <w:r w:rsidRPr="00521A4E">
        <w:t>: Example of IAB-MT configured with multiple BWPs and corresponding RB set mapping.</w:t>
      </w:r>
      <w:bookmarkEnd w:id="6"/>
    </w:p>
    <w:p w14:paraId="547C8FCB" w14:textId="331276BC" w:rsidR="001427A6" w:rsidRPr="003268F4" w:rsidRDefault="001427A6" w:rsidP="003B2295">
      <w:pPr>
        <w:pStyle w:val="Observation"/>
      </w:pPr>
      <w:bookmarkStart w:id="7" w:name="_Toc95771994"/>
      <w:r>
        <w:lastRenderedPageBreak/>
        <w:t>For IAB-DU resource</w:t>
      </w:r>
      <w:r w:rsidR="00AD7CC1">
        <w:t>s</w:t>
      </w:r>
      <w:r>
        <w:t xml:space="preserve"> </w:t>
      </w:r>
      <w:r w:rsidR="00AD7CC1">
        <w:t>that are</w:t>
      </w:r>
      <w:r>
        <w:t xml:space="preserve"> outside the </w:t>
      </w:r>
      <w:r w:rsidR="006548C2">
        <w:t>IAB-MT’s active</w:t>
      </w:r>
      <w:r>
        <w:t xml:space="preserve"> BWPs, there is no need to coordinate IAB-MT and IAB-DU resources by providing RB set configuration </w:t>
      </w:r>
      <w:r w:rsidR="00AD7CC1">
        <w:t>or</w:t>
      </w:r>
      <w:r>
        <w:t xml:space="preserve"> H/S/NA configuration.</w:t>
      </w:r>
      <w:bookmarkEnd w:id="7"/>
    </w:p>
    <w:p w14:paraId="1439110B" w14:textId="059F33CF" w:rsidR="001427A6" w:rsidRDefault="001427A6" w:rsidP="003B2295">
      <w:pPr>
        <w:pStyle w:val="Observation"/>
      </w:pPr>
      <w:bookmarkStart w:id="8" w:name="_Toc95771995"/>
      <w:r>
        <w:t xml:space="preserve">For RB sets which </w:t>
      </w:r>
      <w:r w:rsidR="008568C4">
        <w:t>are</w:t>
      </w:r>
      <w:r>
        <w:t xml:space="preserve"> </w:t>
      </w:r>
      <w:r w:rsidR="008568C4">
        <w:t>non-</w:t>
      </w:r>
      <w:r>
        <w:t xml:space="preserve">overlapping with the </w:t>
      </w:r>
      <w:r w:rsidR="008568C4">
        <w:t xml:space="preserve">IAB-MT’s </w:t>
      </w:r>
      <w:r>
        <w:t>active BWP, it is not necessary for the IAB-DU to adhere the configured frequency domain H/S/NA.</w:t>
      </w:r>
      <w:bookmarkEnd w:id="8"/>
    </w:p>
    <w:p w14:paraId="68520D49" w14:textId="33F658A4" w:rsidR="001F0486" w:rsidRDefault="001F0486" w:rsidP="003B2295">
      <w:pPr>
        <w:jc w:val="both"/>
        <w:rPr>
          <w:lang w:eastAsia="ja-JP"/>
        </w:rPr>
      </w:pPr>
      <w:r>
        <w:rPr>
          <w:rFonts w:cs="Times"/>
          <w:szCs w:val="20"/>
        </w:rPr>
        <w:t>Based on the above observations, we propos</w:t>
      </w:r>
      <w:r w:rsidR="008A5E99">
        <w:rPr>
          <w:rFonts w:cs="Times"/>
          <w:szCs w:val="20"/>
        </w:rPr>
        <w:t>e</w:t>
      </w:r>
      <w:r>
        <w:rPr>
          <w:rFonts w:cs="Times"/>
          <w:szCs w:val="20"/>
        </w:rPr>
        <w:t>:</w:t>
      </w:r>
    </w:p>
    <w:p w14:paraId="01FF661F" w14:textId="6B3BF1C8" w:rsidR="007D0B13" w:rsidRDefault="007D0B13" w:rsidP="003B2295">
      <w:pPr>
        <w:pStyle w:val="Proposal"/>
        <w:tabs>
          <w:tab w:val="clear" w:pos="1872"/>
        </w:tabs>
        <w:spacing w:before="240"/>
        <w:ind w:left="1304"/>
        <w:rPr>
          <w:lang w:eastAsia="ja-JP"/>
        </w:rPr>
      </w:pPr>
      <w:bookmarkStart w:id="9" w:name="_Toc95771997"/>
      <w:r>
        <w:rPr>
          <w:lang w:eastAsia="ja-JP"/>
        </w:rPr>
        <w:t>RAN1 considers the following t</w:t>
      </w:r>
      <w:r w:rsidR="00A95884">
        <w:rPr>
          <w:lang w:eastAsia="ja-JP"/>
        </w:rPr>
        <w:t>hree</w:t>
      </w:r>
      <w:r>
        <w:rPr>
          <w:lang w:eastAsia="ja-JP"/>
        </w:rPr>
        <w:t xml:space="preserve"> alternatives for the frequency start of the first RB set of the IAB-DU</w:t>
      </w:r>
      <w:r w:rsidR="00FF536A">
        <w:rPr>
          <w:lang w:eastAsia="ja-JP"/>
        </w:rPr>
        <w:t xml:space="preserve"> at</w:t>
      </w:r>
      <w:bookmarkEnd w:id="9"/>
    </w:p>
    <w:p w14:paraId="14C8F87F" w14:textId="3EC679CF" w:rsidR="007D0B13" w:rsidRDefault="007D0B13" w:rsidP="003B2295">
      <w:pPr>
        <w:pStyle w:val="Proposal"/>
        <w:numPr>
          <w:ilvl w:val="0"/>
          <w:numId w:val="0"/>
        </w:numPr>
        <w:spacing w:before="240"/>
        <w:ind w:left="1304"/>
        <w:rPr>
          <w:lang w:eastAsia="ja-JP"/>
        </w:rPr>
      </w:pPr>
      <w:bookmarkStart w:id="10" w:name="_Toc95771998"/>
      <w:r>
        <w:rPr>
          <w:lang w:eastAsia="ja-JP"/>
        </w:rPr>
        <w:t xml:space="preserve">Alt1: the lowest </w:t>
      </w:r>
      <w:r w:rsidR="00A95884">
        <w:rPr>
          <w:lang w:eastAsia="ja-JP"/>
        </w:rPr>
        <w:t>index</w:t>
      </w:r>
      <w:r>
        <w:rPr>
          <w:lang w:eastAsia="ja-JP"/>
        </w:rPr>
        <w:t xml:space="preserve"> of RB of the IAB-DU cell</w:t>
      </w:r>
      <w:bookmarkEnd w:id="10"/>
    </w:p>
    <w:p w14:paraId="34801D51" w14:textId="35DEEEC3" w:rsidR="007D0B13" w:rsidRDefault="007D0B13" w:rsidP="003B2295">
      <w:pPr>
        <w:pStyle w:val="Proposal"/>
        <w:numPr>
          <w:ilvl w:val="0"/>
          <w:numId w:val="0"/>
        </w:numPr>
        <w:spacing w:before="240"/>
        <w:ind w:left="1304"/>
        <w:rPr>
          <w:lang w:eastAsia="ja-JP"/>
        </w:rPr>
      </w:pPr>
      <w:bookmarkStart w:id="11" w:name="_Toc95771999"/>
      <w:r>
        <w:rPr>
          <w:lang w:eastAsia="ja-JP"/>
        </w:rPr>
        <w:t xml:space="preserve">Alt2: the lowest </w:t>
      </w:r>
      <w:r w:rsidR="00A95884">
        <w:rPr>
          <w:lang w:eastAsia="ja-JP"/>
        </w:rPr>
        <w:t>index</w:t>
      </w:r>
      <w:r>
        <w:rPr>
          <w:lang w:eastAsia="ja-JP"/>
        </w:rPr>
        <w:t xml:space="preserve"> of RB of the union of the configured IAB-</w:t>
      </w:r>
      <w:r w:rsidR="00B27F8A">
        <w:rPr>
          <w:lang w:eastAsia="ja-JP"/>
        </w:rPr>
        <w:t>MT BWPs</w:t>
      </w:r>
      <w:bookmarkEnd w:id="11"/>
    </w:p>
    <w:p w14:paraId="7B281D1A" w14:textId="1D91BA71" w:rsidR="00DD5E09" w:rsidRDefault="00DD5E09" w:rsidP="003B2295">
      <w:pPr>
        <w:pStyle w:val="Proposal"/>
        <w:numPr>
          <w:ilvl w:val="0"/>
          <w:numId w:val="0"/>
        </w:numPr>
        <w:spacing w:before="240"/>
        <w:ind w:left="1304"/>
        <w:rPr>
          <w:lang w:eastAsia="ja-JP"/>
        </w:rPr>
      </w:pPr>
      <w:bookmarkStart w:id="12" w:name="_Toc95772000"/>
      <w:r>
        <w:rPr>
          <w:lang w:eastAsia="ja-JP"/>
        </w:rPr>
        <w:t xml:space="preserve">Alt3: an </w:t>
      </w:r>
      <w:r w:rsidR="00A95884">
        <w:rPr>
          <w:lang w:eastAsia="ja-JP"/>
        </w:rPr>
        <w:t>arbitrary index of RB of the IAB-DU cell</w:t>
      </w:r>
      <w:bookmarkEnd w:id="12"/>
    </w:p>
    <w:p w14:paraId="6B043D92" w14:textId="29470C73" w:rsidR="00BB7FA5" w:rsidRPr="00087AB3" w:rsidRDefault="00AA5863" w:rsidP="003B2295">
      <w:pPr>
        <w:pStyle w:val="Proposal"/>
        <w:tabs>
          <w:tab w:val="clear" w:pos="1872"/>
        </w:tabs>
        <w:spacing w:before="240"/>
        <w:ind w:left="1304"/>
        <w:rPr>
          <w:lang w:eastAsia="en-GB"/>
        </w:rPr>
      </w:pPr>
      <w:bookmarkStart w:id="13" w:name="_Toc95772001"/>
      <w:r>
        <w:rPr>
          <w:lang w:eastAsia="ja-JP"/>
        </w:rPr>
        <w:t xml:space="preserve">RB sets which are </w:t>
      </w:r>
      <w:r w:rsidR="00F664AD">
        <w:rPr>
          <w:lang w:eastAsia="ja-JP"/>
        </w:rPr>
        <w:t>non-</w:t>
      </w:r>
      <w:r>
        <w:rPr>
          <w:lang w:eastAsia="ja-JP"/>
        </w:rPr>
        <w:t xml:space="preserve">overlapping with the </w:t>
      </w:r>
      <w:r w:rsidR="00F664AD">
        <w:rPr>
          <w:lang w:eastAsia="ja-JP"/>
        </w:rPr>
        <w:t xml:space="preserve">IAB-MT’s </w:t>
      </w:r>
      <w:r>
        <w:rPr>
          <w:lang w:eastAsia="ja-JP"/>
        </w:rPr>
        <w:t>active BWP</w:t>
      </w:r>
      <w:r w:rsidR="00F664AD">
        <w:rPr>
          <w:lang w:eastAsia="ja-JP"/>
        </w:rPr>
        <w:t>s</w:t>
      </w:r>
      <w:r>
        <w:rPr>
          <w:lang w:eastAsia="ja-JP"/>
        </w:rPr>
        <w:t xml:space="preserve">, </w:t>
      </w:r>
      <w:r w:rsidR="0054019B">
        <w:rPr>
          <w:lang w:eastAsia="ja-JP"/>
        </w:rPr>
        <w:t>are treated as</w:t>
      </w:r>
      <w:r w:rsidR="00363193">
        <w:rPr>
          <w:lang w:eastAsia="ja-JP"/>
        </w:rPr>
        <w:t xml:space="preserve"> Hard</w:t>
      </w:r>
      <w:r w:rsidR="0054019B">
        <w:rPr>
          <w:lang w:eastAsia="ja-JP"/>
        </w:rPr>
        <w:t xml:space="preserve"> </w:t>
      </w:r>
      <w:r w:rsidR="00726202">
        <w:rPr>
          <w:lang w:eastAsia="ja-JP"/>
        </w:rPr>
        <w:t>IAB-</w:t>
      </w:r>
      <w:r w:rsidR="0054019B">
        <w:rPr>
          <w:lang w:eastAsia="ja-JP"/>
        </w:rPr>
        <w:t>DU resource</w:t>
      </w:r>
      <w:r w:rsidR="00BA4AC8">
        <w:rPr>
          <w:lang w:eastAsia="ja-JP"/>
        </w:rPr>
        <w:t>s</w:t>
      </w:r>
      <w:r w:rsidR="00363193">
        <w:rPr>
          <w:lang w:eastAsia="ja-JP"/>
        </w:rPr>
        <w:t>.</w:t>
      </w:r>
      <w:bookmarkEnd w:id="13"/>
    </w:p>
    <w:p w14:paraId="3FEC1567" w14:textId="043E75CA" w:rsidR="0073554E" w:rsidRDefault="00F331CE" w:rsidP="003B2295">
      <w:pPr>
        <w:pStyle w:val="Heading3"/>
        <w:jc w:val="both"/>
      </w:pPr>
      <w:r>
        <w:t>Frequency domain H/S/NA</w:t>
      </w:r>
    </w:p>
    <w:p w14:paraId="76DFEF1A" w14:textId="38DDD9B9" w:rsidR="009A6063" w:rsidRPr="00087AB3" w:rsidRDefault="007D1428" w:rsidP="003B2295">
      <w:pPr>
        <w:jc w:val="both"/>
        <w:rPr>
          <w:rFonts w:cs="Arial"/>
          <w:szCs w:val="20"/>
        </w:rPr>
      </w:pPr>
      <w:r>
        <w:t>One</w:t>
      </w:r>
      <w:r w:rsidR="009A6063" w:rsidRPr="00087AB3">
        <w:t xml:space="preserve"> differing</w:t>
      </w:r>
      <w:r w:rsidR="009A6063" w:rsidRPr="00087AB3">
        <w:rPr>
          <w:rFonts w:cs="Arial"/>
          <w:szCs w:val="20"/>
        </w:rPr>
        <w:t xml:space="preserve"> aspect between time-domain and frequency-domain resources is the interference between adjacent resources. In the TDM case, if the IAB-DU</w:t>
      </w:r>
      <w:r w:rsidR="009A6063" w:rsidRPr="00087AB3" w:rsidDel="00C0143C">
        <w:rPr>
          <w:rFonts w:cs="Arial"/>
          <w:szCs w:val="20"/>
        </w:rPr>
        <w:t xml:space="preserve"> </w:t>
      </w:r>
      <w:r w:rsidR="009A6063" w:rsidRPr="00087AB3">
        <w:rPr>
          <w:rFonts w:cs="Arial"/>
          <w:szCs w:val="20"/>
        </w:rPr>
        <w:t>and IAB-MT use different slots, there is no interference between IAB-DU and IAB-MT. But in the FDM case, if IAB-DU uses RB</w:t>
      </w:r>
      <w:r w:rsidR="00BE46A7" w:rsidRPr="00087AB3">
        <w:rPr>
          <w:rFonts w:cs="Arial"/>
          <w:szCs w:val="20"/>
        </w:rPr>
        <w:t>-</w:t>
      </w:r>
      <w:r w:rsidR="00E9437C" w:rsidRPr="00087AB3">
        <w:rPr>
          <w:rFonts w:cs="Arial"/>
          <w:szCs w:val="20"/>
        </w:rPr>
        <w:t>Set</w:t>
      </w:r>
      <w:r w:rsidR="009A6063" w:rsidRPr="00087AB3">
        <w:rPr>
          <w:rFonts w:cs="Arial"/>
          <w:szCs w:val="20"/>
        </w:rPr>
        <w:t>1 and IAB-MT uses RB</w:t>
      </w:r>
      <w:r w:rsidR="00BE46A7" w:rsidRPr="00087AB3">
        <w:rPr>
          <w:rFonts w:cs="Arial"/>
          <w:szCs w:val="20"/>
        </w:rPr>
        <w:t>-</w:t>
      </w:r>
      <w:r w:rsidR="00E9437C" w:rsidRPr="00087AB3">
        <w:rPr>
          <w:rFonts w:cs="Arial"/>
          <w:szCs w:val="20"/>
        </w:rPr>
        <w:t>Set</w:t>
      </w:r>
      <w:r w:rsidR="009A6063" w:rsidRPr="00087AB3">
        <w:rPr>
          <w:rFonts w:cs="Arial"/>
          <w:szCs w:val="20"/>
        </w:rPr>
        <w:t>2, where RB</w:t>
      </w:r>
      <w:r w:rsidR="00BE46A7" w:rsidRPr="00087AB3">
        <w:rPr>
          <w:rFonts w:cs="Arial"/>
          <w:szCs w:val="20"/>
        </w:rPr>
        <w:t>-</w:t>
      </w:r>
      <w:r w:rsidR="00E9437C" w:rsidRPr="00087AB3">
        <w:rPr>
          <w:rFonts w:cs="Arial"/>
          <w:szCs w:val="20"/>
        </w:rPr>
        <w:t>Set</w:t>
      </w:r>
      <w:r w:rsidR="009A6063" w:rsidRPr="00087AB3">
        <w:rPr>
          <w:rFonts w:cs="Arial"/>
          <w:szCs w:val="20"/>
        </w:rPr>
        <w:t>1 and RB</w:t>
      </w:r>
      <w:r w:rsidR="00BE46A7" w:rsidRPr="00087AB3">
        <w:rPr>
          <w:rFonts w:cs="Arial"/>
          <w:szCs w:val="20"/>
        </w:rPr>
        <w:t>-</w:t>
      </w:r>
      <w:r w:rsidR="00E9437C" w:rsidRPr="00087AB3">
        <w:rPr>
          <w:rFonts w:cs="Arial"/>
          <w:szCs w:val="20"/>
        </w:rPr>
        <w:t>Set</w:t>
      </w:r>
      <w:r w:rsidR="009A6063" w:rsidRPr="00087AB3">
        <w:rPr>
          <w:rFonts w:cs="Arial"/>
          <w:szCs w:val="20"/>
        </w:rPr>
        <w:t>2 are contiguous</w:t>
      </w:r>
      <w:r w:rsidR="00B77AEC" w:rsidRPr="00087AB3">
        <w:rPr>
          <w:rFonts w:cs="Arial"/>
          <w:szCs w:val="20"/>
        </w:rPr>
        <w:t>, or adjacent</w:t>
      </w:r>
      <w:r w:rsidR="009A6063" w:rsidRPr="00087AB3">
        <w:rPr>
          <w:rFonts w:cs="Arial"/>
          <w:szCs w:val="20"/>
        </w:rPr>
        <w:t xml:space="preserve">, there may still be interference between IAB-DU and IAB-MT. This is particularly relevant if </w:t>
      </w:r>
      <w:r w:rsidR="006C7CF1" w:rsidRPr="00087AB3">
        <w:rPr>
          <w:rFonts w:cs="Arial"/>
          <w:szCs w:val="20"/>
        </w:rPr>
        <w:t>both dynamic or semi-static DL and UL power control is introduced, resulting in</w:t>
      </w:r>
      <w:r w:rsidR="009A6063" w:rsidRPr="00087AB3">
        <w:rPr>
          <w:rFonts w:cs="Arial"/>
          <w:szCs w:val="20"/>
        </w:rPr>
        <w:t xml:space="preserve"> the IAB-DU and IAB-MT use different transmit power</w:t>
      </w:r>
      <w:r w:rsidR="000B07E4" w:rsidRPr="00087AB3">
        <w:rPr>
          <w:rFonts w:cs="Arial"/>
          <w:szCs w:val="20"/>
        </w:rPr>
        <w:t>s</w:t>
      </w:r>
      <w:r w:rsidR="009A6063" w:rsidRPr="00087AB3">
        <w:rPr>
          <w:rFonts w:cs="Arial"/>
          <w:szCs w:val="20"/>
        </w:rPr>
        <w:t xml:space="preserve"> </w:t>
      </w:r>
      <w:r w:rsidR="006C7CF1" w:rsidRPr="00087AB3">
        <w:rPr>
          <w:rFonts w:cs="Arial"/>
          <w:szCs w:val="20"/>
        </w:rPr>
        <w:t>and thereby introducing a variable</w:t>
      </w:r>
      <w:r w:rsidR="009A6063" w:rsidRPr="00087AB3">
        <w:rPr>
          <w:rFonts w:cs="Arial"/>
          <w:szCs w:val="20"/>
        </w:rPr>
        <w:t xml:space="preserve"> </w:t>
      </w:r>
      <w:r w:rsidR="0062372B" w:rsidRPr="00087AB3">
        <w:rPr>
          <w:rFonts w:cs="Arial"/>
          <w:szCs w:val="20"/>
        </w:rPr>
        <w:t>leakage (in analogy to ACLR) between resources used by IAB-MT and IAB-DU</w:t>
      </w:r>
      <w:r w:rsidR="009A6063" w:rsidRPr="00087AB3">
        <w:rPr>
          <w:rFonts w:cs="Arial"/>
          <w:szCs w:val="20"/>
        </w:rPr>
        <w:t xml:space="preserve"> or </w:t>
      </w:r>
      <w:r w:rsidR="006857EC" w:rsidRPr="00087AB3">
        <w:rPr>
          <w:rFonts w:cs="Arial"/>
          <w:szCs w:val="20"/>
        </w:rPr>
        <w:t xml:space="preserve">if the IAB-DU and IAB-MT </w:t>
      </w:r>
      <w:r w:rsidR="009A6063" w:rsidRPr="00087AB3">
        <w:rPr>
          <w:rFonts w:cs="Arial"/>
          <w:szCs w:val="20"/>
        </w:rPr>
        <w:t>use separate transceiver chains, including separate FFTs</w:t>
      </w:r>
      <w:r w:rsidR="000B07E4" w:rsidRPr="00087AB3">
        <w:rPr>
          <w:rFonts w:cs="Arial"/>
          <w:szCs w:val="20"/>
        </w:rPr>
        <w:t xml:space="preserve"> and timing</w:t>
      </w:r>
      <w:r w:rsidR="009A6063" w:rsidRPr="00087AB3">
        <w:rPr>
          <w:rFonts w:cs="Arial"/>
          <w:szCs w:val="20"/>
        </w:rPr>
        <w:t>, for which case leakage outside the IAB-MT or IAB-DU RB</w:t>
      </w:r>
      <w:r w:rsidR="00BE46A7" w:rsidRPr="00087AB3">
        <w:rPr>
          <w:rFonts w:cs="Arial"/>
          <w:szCs w:val="20"/>
        </w:rPr>
        <w:t>-</w:t>
      </w:r>
      <w:r w:rsidR="00E9437C" w:rsidRPr="00087AB3">
        <w:rPr>
          <w:rFonts w:cs="Arial"/>
          <w:szCs w:val="20"/>
        </w:rPr>
        <w:t>Set</w:t>
      </w:r>
      <w:r w:rsidR="009A6063" w:rsidRPr="00087AB3">
        <w:rPr>
          <w:rFonts w:cs="Arial"/>
          <w:szCs w:val="20"/>
        </w:rPr>
        <w:t>s cannot be excluded due to non-orthogonality between subcarriers. These issues should be considered when specifying frequency-domain H/S in terms of the usage of certain resources at the IAB-DU/MT and the impact on IAB-MT/DU.</w:t>
      </w:r>
    </w:p>
    <w:p w14:paraId="07E4A7B8" w14:textId="6EB3AE51" w:rsidR="009A6063" w:rsidRPr="00087AB3" w:rsidRDefault="009A6063" w:rsidP="003B2295">
      <w:pPr>
        <w:tabs>
          <w:tab w:val="left" w:pos="594"/>
        </w:tabs>
        <w:jc w:val="both"/>
        <w:rPr>
          <w:rFonts w:cs="Arial"/>
          <w:szCs w:val="20"/>
        </w:rPr>
      </w:pPr>
      <w:r w:rsidRPr="00087AB3">
        <w:rPr>
          <w:rFonts w:cs="Arial"/>
          <w:szCs w:val="20"/>
        </w:rPr>
        <w:t xml:space="preserve">To have a common understanding of frequency-domain resources, and in line with normal UE scheduling, the frequency-domain resources at the IAB-MT side are also divided into </w:t>
      </w:r>
      <w:r w:rsidR="00955D96" w:rsidRPr="00087AB3">
        <w:rPr>
          <w:rFonts w:cs="Arial"/>
          <w:szCs w:val="20"/>
        </w:rPr>
        <w:t xml:space="preserve">sets of RBs, </w:t>
      </w:r>
      <w:r w:rsidR="004074D7">
        <w:rPr>
          <w:rFonts w:cs="Arial"/>
          <w:szCs w:val="20"/>
        </w:rPr>
        <w:t xml:space="preserve">in </w:t>
      </w:r>
      <w:r w:rsidR="00955D96" w:rsidRPr="00087AB3">
        <w:rPr>
          <w:rFonts w:cs="Arial"/>
          <w:szCs w:val="20"/>
        </w:rPr>
        <w:t xml:space="preserve">multiples of </w:t>
      </w:r>
      <w:r w:rsidR="004074D7">
        <w:rPr>
          <w:rFonts w:cs="Arial"/>
          <w:szCs w:val="20"/>
        </w:rPr>
        <w:t>an</w:t>
      </w:r>
      <w:r w:rsidR="00955D96" w:rsidRPr="00087AB3">
        <w:rPr>
          <w:rFonts w:cs="Arial"/>
          <w:szCs w:val="20"/>
        </w:rPr>
        <w:t xml:space="preserve"> RBG, </w:t>
      </w:r>
      <w:r w:rsidRPr="00087AB3">
        <w:rPr>
          <w:rFonts w:cs="Arial"/>
          <w:szCs w:val="20"/>
        </w:rPr>
        <w:t xml:space="preserve">the same way as </w:t>
      </w:r>
      <w:r w:rsidR="004074D7">
        <w:rPr>
          <w:rFonts w:cs="Arial"/>
          <w:szCs w:val="20"/>
        </w:rPr>
        <w:t xml:space="preserve">for the </w:t>
      </w:r>
      <w:r w:rsidRPr="00087AB3">
        <w:rPr>
          <w:rFonts w:cs="Arial"/>
          <w:szCs w:val="20"/>
        </w:rPr>
        <w:t>IAB-DU. To minimize signaling, we propose that any guard band is managed by the IAB-DU and hence contained within the Hard or Soft-IA resource:</w:t>
      </w:r>
    </w:p>
    <w:p w14:paraId="6A02E747" w14:textId="24A1A4D2" w:rsidR="009A6063" w:rsidRPr="00087AB3" w:rsidRDefault="009A6063" w:rsidP="003B2295">
      <w:pPr>
        <w:pStyle w:val="ListParagraph"/>
        <w:numPr>
          <w:ilvl w:val="0"/>
          <w:numId w:val="14"/>
        </w:numPr>
        <w:tabs>
          <w:tab w:val="left" w:pos="594"/>
        </w:tabs>
        <w:spacing w:after="160"/>
        <w:contextualSpacing/>
        <w:jc w:val="both"/>
        <w:rPr>
          <w:rFonts w:ascii="Arial" w:hAnsi="Arial" w:cs="Arial"/>
          <w:sz w:val="20"/>
          <w:szCs w:val="20"/>
          <w:lang w:val="en-US"/>
        </w:rPr>
      </w:pPr>
      <w:r w:rsidRPr="00087AB3">
        <w:rPr>
          <w:rFonts w:ascii="Arial" w:hAnsi="Arial" w:cs="Arial"/>
          <w:b/>
          <w:sz w:val="20"/>
          <w:szCs w:val="20"/>
          <w:lang w:val="en-US"/>
        </w:rPr>
        <w:t>For frequency-domain Hard resource:</w:t>
      </w:r>
      <w:r w:rsidRPr="00087AB3">
        <w:rPr>
          <w:rFonts w:ascii="Arial" w:hAnsi="Arial" w:cs="Arial"/>
          <w:sz w:val="20"/>
          <w:szCs w:val="20"/>
          <w:lang w:val="en-US"/>
        </w:rPr>
        <w:t xml:space="preserve"> the IAB-DU can use the resource irrespective of the impact on the MT’s ability to transmit or receive in </w:t>
      </w:r>
      <w:r w:rsidRPr="006B657F">
        <w:rPr>
          <w:rFonts w:ascii="Arial" w:hAnsi="Arial" w:cs="Arial"/>
          <w:i/>
          <w:sz w:val="20"/>
          <w:szCs w:val="20"/>
          <w:lang w:val="en-US"/>
        </w:rPr>
        <w:t>the corresponding resource</w:t>
      </w:r>
      <w:r w:rsidRPr="00087AB3">
        <w:rPr>
          <w:rFonts w:ascii="Arial" w:hAnsi="Arial" w:cs="Arial"/>
          <w:sz w:val="20"/>
          <w:szCs w:val="20"/>
          <w:lang w:val="en-US"/>
        </w:rPr>
        <w:t xml:space="preserve"> (i.e., the same RB</w:t>
      </w:r>
      <w:r w:rsidR="00BE46A7" w:rsidRPr="00087AB3">
        <w:rPr>
          <w:rFonts w:ascii="Arial" w:hAnsi="Arial" w:cs="Arial"/>
          <w:sz w:val="20"/>
          <w:szCs w:val="20"/>
          <w:lang w:val="en-US"/>
        </w:rPr>
        <w:t>-</w:t>
      </w:r>
      <w:r w:rsidR="00E9437C" w:rsidRPr="00087AB3">
        <w:rPr>
          <w:rFonts w:ascii="Arial" w:hAnsi="Arial" w:cs="Arial"/>
          <w:sz w:val="20"/>
          <w:szCs w:val="20"/>
          <w:lang w:val="en-US"/>
        </w:rPr>
        <w:t>Set</w:t>
      </w:r>
      <w:r w:rsidRPr="00087AB3">
        <w:rPr>
          <w:rFonts w:ascii="Arial" w:hAnsi="Arial" w:cs="Arial"/>
          <w:sz w:val="20"/>
          <w:szCs w:val="20"/>
          <w:lang w:val="en-US"/>
        </w:rPr>
        <w:t>), provided it does not impact the MT’s ability to transmit and receive in any other resource (i.e., other RB</w:t>
      </w:r>
      <w:r w:rsidR="00BE46A7" w:rsidRPr="00087AB3">
        <w:rPr>
          <w:rFonts w:ascii="Arial" w:hAnsi="Arial" w:cs="Arial"/>
          <w:sz w:val="20"/>
          <w:szCs w:val="20"/>
          <w:lang w:val="en-US"/>
        </w:rPr>
        <w:t>-</w:t>
      </w:r>
      <w:r w:rsidR="00E9437C" w:rsidRPr="00087AB3">
        <w:rPr>
          <w:rFonts w:ascii="Arial" w:hAnsi="Arial" w:cs="Arial"/>
          <w:sz w:val="20"/>
          <w:szCs w:val="20"/>
          <w:lang w:val="en-US"/>
        </w:rPr>
        <w:t>Set</w:t>
      </w:r>
      <w:r w:rsidRPr="00087AB3">
        <w:rPr>
          <w:rFonts w:ascii="Arial" w:hAnsi="Arial" w:cs="Arial"/>
          <w:sz w:val="20"/>
          <w:szCs w:val="20"/>
          <w:lang w:val="en-US"/>
        </w:rPr>
        <w:t>s).</w:t>
      </w:r>
    </w:p>
    <w:p w14:paraId="0C6F79CB" w14:textId="7F811DC2" w:rsidR="009A6063" w:rsidRPr="00087AB3" w:rsidRDefault="009A6063" w:rsidP="003B2295">
      <w:pPr>
        <w:pStyle w:val="ListParagraph"/>
        <w:numPr>
          <w:ilvl w:val="0"/>
          <w:numId w:val="14"/>
        </w:numPr>
        <w:tabs>
          <w:tab w:val="left" w:pos="594"/>
        </w:tabs>
        <w:spacing w:after="160"/>
        <w:contextualSpacing/>
        <w:jc w:val="both"/>
        <w:rPr>
          <w:rFonts w:ascii="Arial" w:hAnsi="Arial" w:cs="Arial"/>
          <w:sz w:val="20"/>
          <w:szCs w:val="20"/>
          <w:lang w:val="en-US"/>
        </w:rPr>
      </w:pPr>
      <w:r w:rsidRPr="00087AB3">
        <w:rPr>
          <w:rFonts w:ascii="Arial" w:hAnsi="Arial" w:cs="Arial"/>
          <w:b/>
          <w:sz w:val="20"/>
          <w:szCs w:val="20"/>
          <w:lang w:val="en-US"/>
        </w:rPr>
        <w:t xml:space="preserve">For frequency-domain </w:t>
      </w:r>
      <w:proofErr w:type="gramStart"/>
      <w:r w:rsidRPr="00087AB3">
        <w:rPr>
          <w:rFonts w:ascii="Arial" w:hAnsi="Arial" w:cs="Arial"/>
          <w:b/>
          <w:sz w:val="20"/>
          <w:szCs w:val="20"/>
          <w:lang w:val="en-US"/>
        </w:rPr>
        <w:t>Soft</w:t>
      </w:r>
      <w:proofErr w:type="gramEnd"/>
      <w:r w:rsidRPr="00087AB3">
        <w:rPr>
          <w:rFonts w:ascii="Arial" w:hAnsi="Arial" w:cs="Arial"/>
          <w:b/>
          <w:sz w:val="20"/>
          <w:szCs w:val="20"/>
          <w:lang w:val="en-US"/>
        </w:rPr>
        <w:t xml:space="preserve"> resource:</w:t>
      </w:r>
      <w:r w:rsidRPr="00087AB3">
        <w:rPr>
          <w:rFonts w:ascii="Arial" w:hAnsi="Arial" w:cs="Arial"/>
          <w:sz w:val="20"/>
          <w:szCs w:val="20"/>
          <w:lang w:val="en-US"/>
        </w:rPr>
        <w:t xml:space="preserve"> the IAB-DU can use the resource only if it does not impact the MT’s actual ability to transmit and receive in </w:t>
      </w:r>
      <w:r w:rsidRPr="006B657F">
        <w:rPr>
          <w:rFonts w:ascii="Arial" w:hAnsi="Arial" w:cs="Arial"/>
          <w:i/>
          <w:sz w:val="20"/>
          <w:szCs w:val="20"/>
          <w:lang w:val="en-US"/>
        </w:rPr>
        <w:t>any resource</w:t>
      </w:r>
      <w:r w:rsidRPr="00087AB3">
        <w:rPr>
          <w:rFonts w:ascii="Arial" w:hAnsi="Arial" w:cs="Arial"/>
          <w:sz w:val="20"/>
          <w:szCs w:val="20"/>
          <w:lang w:val="en-US"/>
        </w:rPr>
        <w:t xml:space="preserve"> (i.e., both the same RB</w:t>
      </w:r>
      <w:r w:rsidR="00BE46A7" w:rsidRPr="00087AB3">
        <w:rPr>
          <w:rFonts w:ascii="Arial" w:hAnsi="Arial" w:cs="Arial"/>
          <w:sz w:val="20"/>
          <w:szCs w:val="20"/>
          <w:lang w:val="en-US"/>
        </w:rPr>
        <w:t>-</w:t>
      </w:r>
      <w:r w:rsidR="00E9437C" w:rsidRPr="00087AB3">
        <w:rPr>
          <w:rFonts w:ascii="Arial" w:hAnsi="Arial" w:cs="Arial"/>
          <w:sz w:val="20"/>
          <w:szCs w:val="20"/>
          <w:lang w:val="en-US"/>
        </w:rPr>
        <w:t>Set</w:t>
      </w:r>
      <w:r w:rsidRPr="00087AB3">
        <w:rPr>
          <w:rFonts w:ascii="Arial" w:hAnsi="Arial" w:cs="Arial"/>
          <w:sz w:val="20"/>
          <w:szCs w:val="20"/>
          <w:lang w:val="en-US"/>
        </w:rPr>
        <w:t xml:space="preserve"> and other RB</w:t>
      </w:r>
      <w:r w:rsidR="00BE46A7" w:rsidRPr="00087AB3">
        <w:rPr>
          <w:rFonts w:ascii="Arial" w:hAnsi="Arial" w:cs="Arial"/>
          <w:sz w:val="20"/>
          <w:szCs w:val="20"/>
          <w:lang w:val="en-US"/>
        </w:rPr>
        <w:t>-</w:t>
      </w:r>
      <w:r w:rsidR="00E9437C" w:rsidRPr="00087AB3">
        <w:rPr>
          <w:rFonts w:ascii="Arial" w:hAnsi="Arial" w:cs="Arial"/>
          <w:sz w:val="20"/>
          <w:szCs w:val="20"/>
          <w:lang w:val="en-US"/>
        </w:rPr>
        <w:t>Set</w:t>
      </w:r>
      <w:r w:rsidRPr="00087AB3">
        <w:rPr>
          <w:rFonts w:ascii="Arial" w:hAnsi="Arial" w:cs="Arial"/>
          <w:sz w:val="20"/>
          <w:szCs w:val="20"/>
          <w:lang w:val="en-US"/>
        </w:rPr>
        <w:t>s).</w:t>
      </w:r>
    </w:p>
    <w:p w14:paraId="2BA022E9" w14:textId="432C6372" w:rsidR="009A6063" w:rsidRPr="00087AB3" w:rsidRDefault="009A6063" w:rsidP="003B2295">
      <w:pPr>
        <w:pStyle w:val="ListParagraph"/>
        <w:numPr>
          <w:ilvl w:val="0"/>
          <w:numId w:val="14"/>
        </w:numPr>
        <w:tabs>
          <w:tab w:val="left" w:pos="594"/>
        </w:tabs>
        <w:spacing w:after="160"/>
        <w:contextualSpacing/>
        <w:jc w:val="both"/>
        <w:rPr>
          <w:rFonts w:ascii="Arial" w:hAnsi="Arial" w:cs="Arial"/>
          <w:sz w:val="20"/>
          <w:szCs w:val="20"/>
          <w:lang w:val="en-US"/>
        </w:rPr>
      </w:pPr>
      <w:r w:rsidRPr="00087AB3">
        <w:rPr>
          <w:rFonts w:ascii="Arial" w:hAnsi="Arial" w:cs="Arial"/>
          <w:b/>
          <w:sz w:val="20"/>
          <w:szCs w:val="20"/>
          <w:lang w:val="en-US"/>
        </w:rPr>
        <w:t>For frequency-domain NA resource:</w:t>
      </w:r>
      <w:r w:rsidRPr="00087AB3">
        <w:rPr>
          <w:rFonts w:ascii="Arial" w:hAnsi="Arial" w:cs="Arial"/>
          <w:sz w:val="20"/>
          <w:szCs w:val="20"/>
          <w:lang w:val="en-US"/>
        </w:rPr>
        <w:t xml:space="preserve"> the IAB-DU cannot use the resource. </w:t>
      </w:r>
    </w:p>
    <w:p w14:paraId="28637016" w14:textId="03043F3D" w:rsidR="009A6063" w:rsidRPr="00087AB3" w:rsidRDefault="009A6063" w:rsidP="003B2295">
      <w:pPr>
        <w:tabs>
          <w:tab w:val="left" w:pos="594"/>
        </w:tabs>
        <w:jc w:val="both"/>
        <w:rPr>
          <w:rFonts w:cs="Arial"/>
          <w:szCs w:val="20"/>
        </w:rPr>
      </w:pPr>
      <w:r w:rsidRPr="00087AB3">
        <w:rPr>
          <w:rFonts w:cs="Arial"/>
          <w:szCs w:val="20"/>
        </w:rPr>
        <w:t xml:space="preserve">Basically, the definition of Soft and NA resources in TS 38.213 </w:t>
      </w:r>
      <w:r w:rsidRPr="00087AB3">
        <w:rPr>
          <w:rFonts w:cs="Arial"/>
          <w:szCs w:val="20"/>
        </w:rPr>
        <w:fldChar w:fldCharType="begin"/>
      </w:r>
      <w:r w:rsidRPr="00087AB3">
        <w:rPr>
          <w:rFonts w:cs="Arial"/>
          <w:szCs w:val="20"/>
        </w:rPr>
        <w:instrText xml:space="preserve"> REF _Ref71662548 \r \h </w:instrText>
      </w:r>
      <w:r w:rsidR="006F3B67" w:rsidRPr="00087AB3">
        <w:rPr>
          <w:rFonts w:cs="Arial"/>
          <w:szCs w:val="20"/>
        </w:rPr>
        <w:instrText xml:space="preserve"> \* MERGEFORMAT </w:instrText>
      </w:r>
      <w:r w:rsidRPr="00087AB3">
        <w:rPr>
          <w:rFonts w:cs="Arial"/>
          <w:szCs w:val="20"/>
        </w:rPr>
      </w:r>
      <w:r w:rsidRPr="00087AB3">
        <w:rPr>
          <w:rFonts w:cs="Arial"/>
          <w:szCs w:val="20"/>
        </w:rPr>
        <w:fldChar w:fldCharType="separate"/>
      </w:r>
      <w:r w:rsidR="003B2295">
        <w:rPr>
          <w:rFonts w:cs="Arial"/>
          <w:szCs w:val="20"/>
        </w:rPr>
        <w:t>[8]</w:t>
      </w:r>
      <w:r w:rsidRPr="00087AB3">
        <w:rPr>
          <w:rFonts w:cs="Arial"/>
          <w:szCs w:val="20"/>
        </w:rPr>
        <w:fldChar w:fldCharType="end"/>
      </w:r>
      <w:r w:rsidRPr="00087AB3">
        <w:rPr>
          <w:rFonts w:cs="Arial"/>
          <w:szCs w:val="20"/>
        </w:rPr>
        <w:t xml:space="preserve"> </w:t>
      </w:r>
      <w:r w:rsidR="006C370B" w:rsidRPr="00087AB3">
        <w:rPr>
          <w:rFonts w:cs="Arial"/>
          <w:szCs w:val="20"/>
        </w:rPr>
        <w:t>is</w:t>
      </w:r>
      <w:r w:rsidRPr="00087AB3">
        <w:rPr>
          <w:rFonts w:cs="Arial"/>
          <w:szCs w:val="20"/>
        </w:rPr>
        <w:t xml:space="preserve"> still eligible for frequency-domain Soft and NA resources. But further clarification on </w:t>
      </w:r>
      <w:r w:rsidR="006C370B" w:rsidRPr="00087AB3">
        <w:rPr>
          <w:rFonts w:cs="Arial"/>
          <w:szCs w:val="20"/>
        </w:rPr>
        <w:t xml:space="preserve">the </w:t>
      </w:r>
      <w:r w:rsidRPr="00087AB3">
        <w:rPr>
          <w:rFonts w:cs="Arial"/>
          <w:szCs w:val="20"/>
        </w:rPr>
        <w:t>Hard resource type is needed to also include the frequency-domain Hard resource.</w:t>
      </w:r>
      <w:bookmarkStart w:id="14" w:name="_Toc68520692"/>
      <w:bookmarkStart w:id="15" w:name="_Toc68520973"/>
      <w:bookmarkEnd w:id="14"/>
      <w:bookmarkEnd w:id="15"/>
      <w:r w:rsidR="00F16D75" w:rsidRPr="00087AB3">
        <w:rPr>
          <w:rFonts w:cs="Arial"/>
          <w:szCs w:val="20"/>
        </w:rPr>
        <w:t xml:space="preserve"> </w:t>
      </w:r>
      <w:r w:rsidR="004A4D23">
        <w:rPr>
          <w:rFonts w:cs="Arial"/>
          <w:szCs w:val="20"/>
        </w:rPr>
        <w:t xml:space="preserve">Based on the above argument we propose </w:t>
      </w:r>
      <w:r w:rsidR="00FD5BDF">
        <w:rPr>
          <w:rFonts w:cs="Arial"/>
          <w:szCs w:val="20"/>
        </w:rPr>
        <w:t xml:space="preserve">the following definition for frequency domain </w:t>
      </w:r>
      <w:r w:rsidR="00A46CB0">
        <w:rPr>
          <w:rFonts w:cs="Arial"/>
          <w:szCs w:val="20"/>
        </w:rPr>
        <w:t>Hard and Soft resource:</w:t>
      </w:r>
    </w:p>
    <w:p w14:paraId="2B3FB4B6" w14:textId="3A59C769" w:rsidR="00CA2278" w:rsidRPr="00CA2278" w:rsidRDefault="00CA2278" w:rsidP="003B2295">
      <w:pPr>
        <w:pStyle w:val="Proposal"/>
        <w:tabs>
          <w:tab w:val="clear" w:pos="1872"/>
        </w:tabs>
        <w:spacing w:before="240"/>
        <w:ind w:left="1304"/>
        <w:rPr>
          <w:lang w:eastAsia="ja-JP"/>
        </w:rPr>
      </w:pPr>
      <w:bookmarkStart w:id="16" w:name="_Hlk82676616"/>
      <w:bookmarkStart w:id="17" w:name="_Toc58832841"/>
      <w:bookmarkStart w:id="18" w:name="_Toc61903476"/>
      <w:bookmarkStart w:id="19" w:name="_Toc71663388"/>
      <w:bookmarkStart w:id="20" w:name="_Toc95772002"/>
      <w:r w:rsidRPr="00A92660">
        <w:rPr>
          <w:lang w:eastAsia="ja-JP"/>
        </w:rPr>
        <w:t xml:space="preserve">If a resource is configured as Hard, or explicitly indicated as Soft-IA the IAB-DU can transmit, receive, or either transmit or receive according to its configuration only if it </w:t>
      </w:r>
      <w:r w:rsidRPr="00A92660">
        <w:rPr>
          <w:lang w:eastAsia="ja-JP"/>
        </w:rPr>
        <w:lastRenderedPageBreak/>
        <w:t xml:space="preserve">does not impact the IAB-MT’s actual ability to operate in any other resource that is either configured Not Available, or configured Soft and not </w:t>
      </w:r>
      <w:r w:rsidR="003C0F27">
        <w:rPr>
          <w:lang w:eastAsia="ja-JP"/>
        </w:rPr>
        <w:t xml:space="preserve">explicitly </w:t>
      </w:r>
      <w:r w:rsidRPr="00DA71EF">
        <w:rPr>
          <w:lang w:eastAsia="ja-JP"/>
        </w:rPr>
        <w:t>indicated available.</w:t>
      </w:r>
      <w:bookmarkEnd w:id="20"/>
    </w:p>
    <w:p w14:paraId="1A44AC9B" w14:textId="0827EA4F" w:rsidR="0093488E" w:rsidRPr="003B2295" w:rsidRDefault="00893903" w:rsidP="003B2295">
      <w:pPr>
        <w:pStyle w:val="Proposal"/>
        <w:tabs>
          <w:tab w:val="clear" w:pos="1872"/>
        </w:tabs>
        <w:spacing w:before="240"/>
        <w:ind w:left="1304"/>
        <w:rPr>
          <w:strike/>
        </w:rPr>
      </w:pPr>
      <w:bookmarkStart w:id="21" w:name="_Toc95772003"/>
      <w:bookmarkEnd w:id="16"/>
      <w:bookmarkEnd w:id="17"/>
      <w:bookmarkEnd w:id="18"/>
      <w:bookmarkEnd w:id="19"/>
      <w:r w:rsidRPr="00087AB3">
        <w:rPr>
          <w:lang w:eastAsia="ja-JP"/>
        </w:rPr>
        <w:t>If a resource is configured as Soft</w:t>
      </w:r>
      <w:r w:rsidR="00E50715">
        <w:rPr>
          <w:lang w:eastAsia="ja-JP"/>
        </w:rPr>
        <w:t xml:space="preserve"> (including implicitly indicated available)</w:t>
      </w:r>
      <w:r w:rsidRPr="00087AB3">
        <w:rPr>
          <w:lang w:eastAsia="ja-JP"/>
        </w:rPr>
        <w:t xml:space="preserve">, the IAB-DU can transmit, receive, or either transmit or receive only if it does not impact the IAB-MT’s actual ability to operate </w:t>
      </w:r>
      <w:r w:rsidRPr="00086F91">
        <w:rPr>
          <w:lang w:eastAsia="ja-JP"/>
        </w:rPr>
        <w:t>in any</w:t>
      </w:r>
      <w:r w:rsidRPr="00087AB3">
        <w:rPr>
          <w:lang w:eastAsia="ja-JP"/>
        </w:rPr>
        <w:t xml:space="preserve"> resource, </w:t>
      </w:r>
      <w:r w:rsidR="004E1F90" w:rsidRPr="005C4103">
        <w:rPr>
          <w:lang w:eastAsia="ja-JP"/>
        </w:rPr>
        <w:t xml:space="preserve">either configured Not Available, or configured Soft and not </w:t>
      </w:r>
      <w:r w:rsidR="000849F0">
        <w:rPr>
          <w:lang w:eastAsia="ja-JP"/>
        </w:rPr>
        <w:t xml:space="preserve">explicitly </w:t>
      </w:r>
      <w:r w:rsidR="004E1F90" w:rsidRPr="005C4103">
        <w:rPr>
          <w:lang w:eastAsia="ja-JP"/>
        </w:rPr>
        <w:t>indicated available</w:t>
      </w:r>
      <w:r w:rsidRPr="00087AB3">
        <w:rPr>
          <w:lang w:eastAsia="ja-JP"/>
        </w:rPr>
        <w:t>.</w:t>
      </w:r>
      <w:bookmarkEnd w:id="21"/>
    </w:p>
    <w:p w14:paraId="51563CCF" w14:textId="77777777" w:rsidR="009A6063" w:rsidRPr="00087AB3" w:rsidRDefault="009A6063" w:rsidP="003B2295">
      <w:pPr>
        <w:pStyle w:val="Heading3"/>
        <w:jc w:val="both"/>
        <w:rPr>
          <w:lang w:val="en-US"/>
        </w:rPr>
      </w:pPr>
      <w:bookmarkStart w:id="22" w:name="_Ref68521754"/>
      <w:r w:rsidRPr="00087AB3">
        <w:rPr>
          <w:lang w:val="en-US"/>
        </w:rPr>
        <w:t>Coexistence of simultaneous operation and TDM</w:t>
      </w:r>
      <w:bookmarkEnd w:id="22"/>
    </w:p>
    <w:p w14:paraId="20293266" w14:textId="7C3D2AA0" w:rsidR="00E409BB" w:rsidRPr="00087AB3" w:rsidRDefault="00D14848" w:rsidP="003B2295">
      <w:pPr>
        <w:jc w:val="both"/>
        <w:rPr>
          <w:rFonts w:cs="Arial"/>
          <w:szCs w:val="20"/>
        </w:rPr>
      </w:pPr>
      <w:r>
        <w:rPr>
          <w:rFonts w:cs="Arial"/>
          <w:szCs w:val="20"/>
        </w:rPr>
        <w:t xml:space="preserve">For Rel-17 </w:t>
      </w:r>
      <w:proofErr w:type="spellStart"/>
      <w:r>
        <w:rPr>
          <w:rFonts w:cs="Arial"/>
          <w:szCs w:val="20"/>
        </w:rPr>
        <w:t>eIAB</w:t>
      </w:r>
      <w:proofErr w:type="spellEnd"/>
      <w:r>
        <w:rPr>
          <w:rFonts w:cs="Arial"/>
          <w:szCs w:val="20"/>
        </w:rPr>
        <w:t xml:space="preserve">, the following agreements </w:t>
      </w:r>
      <w:r w:rsidR="00B847A7">
        <w:rPr>
          <w:rFonts w:cs="Arial"/>
          <w:szCs w:val="20"/>
        </w:rPr>
        <w:t xml:space="preserve">and working assumption </w:t>
      </w:r>
      <w:r>
        <w:rPr>
          <w:rFonts w:cs="Arial"/>
          <w:szCs w:val="20"/>
        </w:rPr>
        <w:t xml:space="preserve">were made for </w:t>
      </w:r>
      <w:r w:rsidR="000F018A">
        <w:rPr>
          <w:rFonts w:cs="Arial"/>
          <w:szCs w:val="20"/>
        </w:rPr>
        <w:t>coexistence of</w:t>
      </w:r>
      <w:r>
        <w:rPr>
          <w:rFonts w:cs="Arial"/>
          <w:szCs w:val="20"/>
        </w:rPr>
        <w:t xml:space="preserve"> different multiplexing modes</w:t>
      </w:r>
      <w:r w:rsidR="00E374B2">
        <w:rPr>
          <w:rFonts w:cs="Arial"/>
          <w:szCs w:val="20"/>
        </w:rPr>
        <w:t xml:space="preserve"> </w:t>
      </w:r>
      <w:r w:rsidR="00E374B2">
        <w:rPr>
          <w:rFonts w:cs="Arial"/>
          <w:szCs w:val="20"/>
        </w:rPr>
        <w:fldChar w:fldCharType="begin"/>
      </w:r>
      <w:r w:rsidR="00E374B2">
        <w:rPr>
          <w:rFonts w:cs="Arial"/>
          <w:szCs w:val="20"/>
        </w:rPr>
        <w:instrText xml:space="preserve"> REF _Ref74242731 \r \h </w:instrText>
      </w:r>
      <w:r w:rsidR="00E374B2">
        <w:rPr>
          <w:rFonts w:cs="Arial"/>
          <w:szCs w:val="20"/>
        </w:rPr>
      </w:r>
      <w:r w:rsidR="009C54D2">
        <w:rPr>
          <w:rFonts w:cs="Arial"/>
          <w:szCs w:val="20"/>
        </w:rPr>
        <w:instrText xml:space="preserve"> \* MERGEFORMAT </w:instrText>
      </w:r>
      <w:r w:rsidR="00E374B2">
        <w:rPr>
          <w:rFonts w:cs="Arial"/>
          <w:szCs w:val="20"/>
        </w:rPr>
        <w:fldChar w:fldCharType="separate"/>
      </w:r>
      <w:r w:rsidR="003B2295">
        <w:rPr>
          <w:rFonts w:cs="Arial"/>
          <w:szCs w:val="20"/>
        </w:rPr>
        <w:t>[4]</w:t>
      </w:r>
      <w:r w:rsidR="00E374B2">
        <w:rPr>
          <w:rFonts w:cs="Arial"/>
          <w:szCs w:val="20"/>
        </w:rPr>
        <w:fldChar w:fldCharType="end"/>
      </w:r>
      <w:r w:rsidR="00E374B2">
        <w:rPr>
          <w:rFonts w:cs="Arial"/>
          <w:szCs w:val="20"/>
        </w:rPr>
        <w:t>,</w:t>
      </w:r>
      <w:r w:rsidR="007F3700">
        <w:rPr>
          <w:rFonts w:cs="Arial"/>
          <w:szCs w:val="20"/>
        </w:rPr>
        <w:t xml:space="preserve"> </w:t>
      </w:r>
      <w:r w:rsidR="00E374B2">
        <w:rPr>
          <w:rFonts w:cs="Arial"/>
          <w:szCs w:val="20"/>
        </w:rPr>
        <w:fldChar w:fldCharType="begin"/>
      </w:r>
      <w:r w:rsidR="00E374B2">
        <w:rPr>
          <w:rFonts w:cs="Arial"/>
          <w:szCs w:val="20"/>
        </w:rPr>
        <w:instrText xml:space="preserve"> REF _Ref89866153 \r \h </w:instrText>
      </w:r>
      <w:r w:rsidR="00E374B2">
        <w:rPr>
          <w:rFonts w:cs="Arial"/>
          <w:szCs w:val="20"/>
        </w:rPr>
      </w:r>
      <w:r w:rsidR="009C54D2">
        <w:rPr>
          <w:rFonts w:cs="Arial"/>
          <w:szCs w:val="20"/>
        </w:rPr>
        <w:instrText xml:space="preserve"> \* MERGEFORMAT </w:instrText>
      </w:r>
      <w:r w:rsidR="00E374B2">
        <w:rPr>
          <w:rFonts w:cs="Arial"/>
          <w:szCs w:val="20"/>
        </w:rPr>
        <w:fldChar w:fldCharType="separate"/>
      </w:r>
      <w:r w:rsidR="003B2295">
        <w:rPr>
          <w:rFonts w:cs="Arial"/>
          <w:szCs w:val="20"/>
        </w:rPr>
        <w:t>[5]</w:t>
      </w:r>
      <w:r w:rsidR="00E374B2">
        <w:rPr>
          <w:rFonts w:cs="Arial"/>
          <w:szCs w:val="20"/>
        </w:rPr>
        <w:fldChar w:fldCharType="end"/>
      </w:r>
      <w:r w:rsidR="00E409BB" w:rsidRPr="00087AB3">
        <w:rPr>
          <w:rFonts w:cs="Arial"/>
          <w:szCs w:val="20"/>
        </w:rPr>
        <w:t>:</w:t>
      </w:r>
    </w:p>
    <w:tbl>
      <w:tblPr>
        <w:tblStyle w:val="TableGrid"/>
        <w:tblW w:w="0" w:type="auto"/>
        <w:tblLook w:val="04A0" w:firstRow="1" w:lastRow="0" w:firstColumn="1" w:lastColumn="0" w:noHBand="0" w:noVBand="1"/>
      </w:tblPr>
      <w:tblGrid>
        <w:gridCol w:w="9629"/>
      </w:tblGrid>
      <w:tr w:rsidR="00E409BB" w:rsidRPr="00087AB3" w14:paraId="55AA41E9" w14:textId="77777777" w:rsidTr="00762A16">
        <w:tc>
          <w:tcPr>
            <w:tcW w:w="9629" w:type="dxa"/>
          </w:tcPr>
          <w:p w14:paraId="6849768D" w14:textId="7009B2D4" w:rsidR="0094559D" w:rsidRPr="00CA0CA5" w:rsidRDefault="0094559D" w:rsidP="003B2295">
            <w:pPr>
              <w:spacing w:before="60" w:after="120" w:line="240" w:lineRule="auto"/>
              <w:contextualSpacing/>
              <w:jc w:val="both"/>
              <w:rPr>
                <w:rFonts w:cs="Arial"/>
                <w:b/>
                <w:bCs/>
                <w:sz w:val="20"/>
                <w:szCs w:val="20"/>
                <w:highlight w:val="green"/>
                <w:lang w:val="en-GB"/>
              </w:rPr>
            </w:pPr>
            <w:r w:rsidRPr="00CA0CA5">
              <w:rPr>
                <w:rFonts w:cs="Arial"/>
                <w:b/>
                <w:bCs/>
                <w:sz w:val="20"/>
                <w:szCs w:val="20"/>
                <w:highlight w:val="green"/>
                <w:lang w:val="en-GB"/>
              </w:rPr>
              <w:t>Agreement</w:t>
            </w:r>
            <w:r w:rsidR="000B08B1" w:rsidRPr="00CA0CA5">
              <w:rPr>
                <w:rFonts w:cs="Arial"/>
                <w:b/>
                <w:bCs/>
                <w:sz w:val="20"/>
                <w:szCs w:val="20"/>
                <w:highlight w:val="green"/>
                <w:lang w:val="en-GB"/>
              </w:rPr>
              <w:t xml:space="preserve"> (RAN1#105</w:t>
            </w:r>
            <w:r w:rsidR="00325ACC">
              <w:rPr>
                <w:rFonts w:cs="Arial"/>
                <w:b/>
                <w:bCs/>
                <w:sz w:val="20"/>
                <w:szCs w:val="20"/>
                <w:highlight w:val="green"/>
                <w:lang w:val="en-GB"/>
              </w:rPr>
              <w:t>-</w:t>
            </w:r>
            <w:r w:rsidR="000B08B1" w:rsidRPr="00CA0CA5">
              <w:rPr>
                <w:rFonts w:cs="Arial"/>
                <w:b/>
                <w:bCs/>
                <w:sz w:val="20"/>
                <w:szCs w:val="20"/>
                <w:highlight w:val="green"/>
                <w:lang w:val="en-GB"/>
              </w:rPr>
              <w:t>e)</w:t>
            </w:r>
          </w:p>
          <w:p w14:paraId="6555E533"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sz w:val="20"/>
                <w:szCs w:val="20"/>
                <w:lang w:val="en-GB"/>
              </w:rPr>
              <w:t>For frequency domain multiplexing, H/S/NA configurations for an IAB-node are provided separately in addition to the Rel-16 H/S/NA</w:t>
            </w:r>
          </w:p>
          <w:p w14:paraId="2B649951" w14:textId="22D3FFAA" w:rsidR="00E409BB" w:rsidRPr="00CA0CA5" w:rsidRDefault="00E409BB" w:rsidP="003B2295">
            <w:pPr>
              <w:spacing w:before="60" w:after="120" w:line="240" w:lineRule="auto"/>
              <w:contextualSpacing/>
              <w:jc w:val="both"/>
              <w:rPr>
                <w:rFonts w:cs="Arial"/>
                <w:sz w:val="20"/>
                <w:szCs w:val="20"/>
                <w:lang w:val="en-GB"/>
              </w:rPr>
            </w:pPr>
          </w:p>
          <w:p w14:paraId="19E54EED" w14:textId="3F1E518C" w:rsidR="0094559D" w:rsidRPr="00CA0CA5" w:rsidRDefault="0094559D" w:rsidP="003B2295">
            <w:pPr>
              <w:spacing w:before="60" w:after="120" w:line="240" w:lineRule="auto"/>
              <w:contextualSpacing/>
              <w:jc w:val="both"/>
              <w:rPr>
                <w:rFonts w:cs="Arial"/>
                <w:sz w:val="20"/>
                <w:szCs w:val="20"/>
                <w:lang w:val="en-GB"/>
              </w:rPr>
            </w:pPr>
            <w:r w:rsidRPr="00CA0CA5">
              <w:rPr>
                <w:rFonts w:cs="Arial"/>
                <w:b/>
                <w:bCs/>
                <w:sz w:val="20"/>
                <w:szCs w:val="20"/>
                <w:highlight w:val="green"/>
                <w:lang w:val="en-GB"/>
              </w:rPr>
              <w:t>Agreement</w:t>
            </w:r>
            <w:r w:rsidR="000B08B1" w:rsidRPr="00CA0CA5">
              <w:rPr>
                <w:rFonts w:cs="Arial"/>
                <w:b/>
                <w:bCs/>
                <w:sz w:val="20"/>
                <w:szCs w:val="20"/>
                <w:highlight w:val="green"/>
                <w:lang w:val="en-GB"/>
              </w:rPr>
              <w:t xml:space="preserve"> (RAN1#106</w:t>
            </w:r>
            <w:r w:rsidR="00325ACC">
              <w:rPr>
                <w:rFonts w:cs="Arial"/>
                <w:b/>
                <w:bCs/>
                <w:sz w:val="20"/>
                <w:szCs w:val="20"/>
                <w:highlight w:val="green"/>
                <w:lang w:val="en-GB"/>
              </w:rPr>
              <w:t>-</w:t>
            </w:r>
            <w:r w:rsidR="000B08B1" w:rsidRPr="00CA0CA5">
              <w:rPr>
                <w:rFonts w:cs="Arial"/>
                <w:b/>
                <w:bCs/>
                <w:sz w:val="20"/>
                <w:szCs w:val="20"/>
                <w:highlight w:val="green"/>
                <w:lang w:val="en-GB"/>
              </w:rPr>
              <w:t>e)</w:t>
            </w:r>
          </w:p>
          <w:p w14:paraId="0D118BB5"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sz w:val="20"/>
                <w:szCs w:val="20"/>
                <w:lang w:val="en-GB"/>
              </w:rPr>
              <w:t>For a given RB set at a symbol, if Rel-17 frequency domain H/S/NA configuration is not provided, the Rel-</w:t>
            </w:r>
            <w:proofErr w:type="gramStart"/>
            <w:r w:rsidRPr="00CA0CA5">
              <w:rPr>
                <w:rFonts w:cs="Arial"/>
                <w:sz w:val="20"/>
                <w:szCs w:val="20"/>
                <w:lang w:val="en-GB"/>
              </w:rPr>
              <w:t>16 time</w:t>
            </w:r>
            <w:proofErr w:type="gramEnd"/>
            <w:r w:rsidRPr="00CA0CA5">
              <w:rPr>
                <w:rFonts w:cs="Arial"/>
                <w:sz w:val="20"/>
                <w:szCs w:val="20"/>
                <w:lang w:val="en-GB"/>
              </w:rPr>
              <w:t xml:space="preserve"> domain H/S/NA is applied</w:t>
            </w:r>
          </w:p>
          <w:p w14:paraId="3A03D3D5" w14:textId="77777777" w:rsidR="0094559D" w:rsidRPr="00CA0CA5" w:rsidRDefault="0094559D" w:rsidP="003B2295">
            <w:pPr>
              <w:spacing w:before="60" w:after="120" w:line="240" w:lineRule="auto"/>
              <w:contextualSpacing/>
              <w:jc w:val="both"/>
              <w:rPr>
                <w:rFonts w:cs="Arial"/>
                <w:sz w:val="20"/>
                <w:szCs w:val="20"/>
                <w:lang w:val="en-GB"/>
              </w:rPr>
            </w:pPr>
          </w:p>
          <w:p w14:paraId="5D298DA7" w14:textId="1569A2B6" w:rsidR="0094559D" w:rsidRPr="00CA0CA5" w:rsidRDefault="0094559D" w:rsidP="003B2295">
            <w:pPr>
              <w:spacing w:before="60" w:after="120" w:line="240" w:lineRule="auto"/>
              <w:contextualSpacing/>
              <w:jc w:val="both"/>
              <w:rPr>
                <w:rFonts w:cs="Arial"/>
                <w:sz w:val="20"/>
                <w:szCs w:val="20"/>
                <w:lang w:val="en-GB"/>
              </w:rPr>
            </w:pPr>
            <w:r w:rsidRPr="00CA0CA5">
              <w:rPr>
                <w:rFonts w:cs="Arial"/>
                <w:b/>
                <w:bCs/>
                <w:sz w:val="20"/>
                <w:szCs w:val="20"/>
                <w:highlight w:val="darkYellow"/>
                <w:lang w:val="en-GB"/>
              </w:rPr>
              <w:t>Working Assumption</w:t>
            </w:r>
            <w:r w:rsidR="000B08B1" w:rsidRPr="00CA0CA5">
              <w:rPr>
                <w:rFonts w:cs="Arial"/>
                <w:b/>
                <w:bCs/>
                <w:sz w:val="20"/>
                <w:szCs w:val="20"/>
                <w:highlight w:val="darkYellow"/>
                <w:lang w:val="en-GB"/>
              </w:rPr>
              <w:t xml:space="preserve"> (RAN1#106bis-e)</w:t>
            </w:r>
          </w:p>
          <w:p w14:paraId="1E2C19A9"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sz w:val="20"/>
                <w:szCs w:val="20"/>
                <w:lang w:val="en-GB"/>
              </w:rPr>
              <w:t>If both the Rel-</w:t>
            </w:r>
            <w:proofErr w:type="gramStart"/>
            <w:r w:rsidRPr="00CA0CA5">
              <w:rPr>
                <w:rFonts w:cs="Arial"/>
                <w:sz w:val="20"/>
                <w:szCs w:val="20"/>
                <w:lang w:val="en-GB"/>
              </w:rPr>
              <w:t>16 time</w:t>
            </w:r>
            <w:proofErr w:type="gramEnd"/>
            <w:r w:rsidRPr="00CA0CA5">
              <w:rPr>
                <w:rFonts w:cs="Arial"/>
                <w:sz w:val="20"/>
                <w:szCs w:val="20"/>
                <w:lang w:val="en-GB"/>
              </w:rPr>
              <w:t xml:space="preserve"> domain H/S/NA configuration and Rel-17 frequency domain H/S/NA configuration are provided for a given RB set within a slot, one of the following is selected:</w:t>
            </w:r>
          </w:p>
          <w:p w14:paraId="1CE121A4" w14:textId="77777777" w:rsidR="0094559D" w:rsidRPr="00CA0CA5" w:rsidRDefault="0094559D" w:rsidP="003B2295">
            <w:pPr>
              <w:numPr>
                <w:ilvl w:val="0"/>
                <w:numId w:val="28"/>
              </w:numPr>
              <w:spacing w:before="60" w:after="120" w:line="240" w:lineRule="auto"/>
              <w:contextualSpacing/>
              <w:jc w:val="both"/>
              <w:rPr>
                <w:rFonts w:cs="Arial"/>
                <w:sz w:val="20"/>
                <w:szCs w:val="20"/>
                <w:lang w:val="en-GB"/>
              </w:rPr>
            </w:pPr>
            <w:r w:rsidRPr="00CA0CA5">
              <w:rPr>
                <w:rFonts w:cs="Arial"/>
                <w:sz w:val="20"/>
                <w:szCs w:val="20"/>
                <w:lang w:val="en-GB"/>
              </w:rPr>
              <w:t>Alt. 1: An IAB node applies the frequency domain H/S/NA only if the IAB node is currently operating in a non-TDM multiplexing mode in the slot, otherwise the Rel-</w:t>
            </w:r>
            <w:proofErr w:type="gramStart"/>
            <w:r w:rsidRPr="00CA0CA5">
              <w:rPr>
                <w:rFonts w:cs="Arial"/>
                <w:sz w:val="20"/>
                <w:szCs w:val="20"/>
                <w:lang w:val="en-GB"/>
              </w:rPr>
              <w:t>16 time</w:t>
            </w:r>
            <w:proofErr w:type="gramEnd"/>
            <w:r w:rsidRPr="00CA0CA5">
              <w:rPr>
                <w:rFonts w:cs="Arial"/>
                <w:sz w:val="20"/>
                <w:szCs w:val="20"/>
                <w:lang w:val="en-GB"/>
              </w:rPr>
              <w:t xml:space="preserve"> domain H/S/NA configuration is applied.</w:t>
            </w:r>
          </w:p>
          <w:p w14:paraId="03D461BB"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b/>
                <w:bCs/>
                <w:sz w:val="20"/>
                <w:szCs w:val="20"/>
                <w:lang w:val="en-GB"/>
              </w:rPr>
              <w:t>For RAN1#107-e, companies to consider the following decision point:</w:t>
            </w:r>
          </w:p>
          <w:p w14:paraId="05B5EB8C"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sz w:val="20"/>
                <w:szCs w:val="20"/>
                <w:lang w:val="en-GB"/>
              </w:rPr>
              <w:t>An IAB node (or parent node) cannot operate under a given non-TDM multiplexing mode until:</w:t>
            </w:r>
          </w:p>
          <w:p w14:paraId="2F1A1E92" w14:textId="77777777" w:rsidR="0094559D" w:rsidRPr="00CA0CA5" w:rsidRDefault="0094559D" w:rsidP="003B2295">
            <w:pPr>
              <w:numPr>
                <w:ilvl w:val="0"/>
                <w:numId w:val="29"/>
              </w:numPr>
              <w:spacing w:before="60" w:after="120" w:line="240" w:lineRule="auto"/>
              <w:contextualSpacing/>
              <w:jc w:val="both"/>
              <w:rPr>
                <w:rFonts w:cs="Arial"/>
                <w:sz w:val="20"/>
                <w:szCs w:val="20"/>
                <w:lang w:val="en-GB"/>
              </w:rPr>
            </w:pPr>
            <w:r w:rsidRPr="00CA0CA5">
              <w:rPr>
                <w:rFonts w:cs="Arial"/>
                <w:sz w:val="20"/>
                <w:szCs w:val="20"/>
                <w:lang w:val="en-GB"/>
              </w:rPr>
              <w:t>Alt. 1: All required conditions and parameters which have been directly indicated/requested to the parent node (</w:t>
            </w:r>
            <w:proofErr w:type="gramStart"/>
            <w:r w:rsidRPr="00CA0CA5">
              <w:rPr>
                <w:rFonts w:cs="Arial"/>
                <w:sz w:val="20"/>
                <w:szCs w:val="20"/>
                <w:lang w:val="en-GB"/>
              </w:rPr>
              <w:t>e.g.</w:t>
            </w:r>
            <w:proofErr w:type="gramEnd"/>
            <w:r w:rsidRPr="00CA0CA5">
              <w:rPr>
                <w:rFonts w:cs="Arial"/>
                <w:sz w:val="20"/>
                <w:szCs w:val="20"/>
                <w:lang w:val="en-GB"/>
              </w:rPr>
              <w:t xml:space="preserve"> via MAC-CE) are explicitly acknowledged by the parent node.</w:t>
            </w:r>
          </w:p>
          <w:p w14:paraId="1813902C" w14:textId="77777777" w:rsidR="0094559D" w:rsidRPr="00CA0CA5" w:rsidRDefault="0094559D" w:rsidP="003B2295">
            <w:pPr>
              <w:numPr>
                <w:ilvl w:val="0"/>
                <w:numId w:val="29"/>
              </w:numPr>
              <w:spacing w:before="60" w:after="120" w:line="240" w:lineRule="auto"/>
              <w:contextualSpacing/>
              <w:jc w:val="both"/>
              <w:rPr>
                <w:rFonts w:cs="Arial"/>
                <w:sz w:val="20"/>
                <w:szCs w:val="20"/>
                <w:lang w:val="en-GB"/>
              </w:rPr>
            </w:pPr>
            <w:r w:rsidRPr="00CA0CA5">
              <w:rPr>
                <w:rFonts w:cs="Arial"/>
                <w:sz w:val="20"/>
                <w:szCs w:val="20"/>
                <w:lang w:val="en-GB"/>
              </w:rPr>
              <w:t>Alt. 2: All required conditions and parameters which have been directly indicated/requested to the parent node (</w:t>
            </w:r>
            <w:proofErr w:type="gramStart"/>
            <w:r w:rsidRPr="00CA0CA5">
              <w:rPr>
                <w:rFonts w:cs="Arial"/>
                <w:sz w:val="20"/>
                <w:szCs w:val="20"/>
                <w:lang w:val="en-GB"/>
              </w:rPr>
              <w:t>e.g.</w:t>
            </w:r>
            <w:proofErr w:type="gramEnd"/>
            <w:r w:rsidRPr="00CA0CA5">
              <w:rPr>
                <w:rFonts w:cs="Arial"/>
                <w:sz w:val="20"/>
                <w:szCs w:val="20"/>
                <w:lang w:val="en-GB"/>
              </w:rPr>
              <w:t xml:space="preserve"> via MAC-CE) are implicitly acknowledged by the parent node or implicitly determined at the child node</w:t>
            </w:r>
          </w:p>
          <w:p w14:paraId="40A00345" w14:textId="74BA553A" w:rsidR="005D363E" w:rsidRPr="005D363E" w:rsidRDefault="005D363E" w:rsidP="003B2295">
            <w:pPr>
              <w:spacing w:before="60" w:after="120" w:line="240" w:lineRule="auto"/>
              <w:contextualSpacing/>
              <w:jc w:val="both"/>
              <w:rPr>
                <w:rFonts w:cs="Arial"/>
                <w:sz w:val="20"/>
                <w:szCs w:val="20"/>
                <w:lang w:val="en-GB"/>
              </w:rPr>
            </w:pPr>
          </w:p>
        </w:tc>
      </w:tr>
    </w:tbl>
    <w:p w14:paraId="08906E9B" w14:textId="7C6FDB7A" w:rsidR="005D363E" w:rsidRDefault="00E409BB" w:rsidP="003B2295">
      <w:pPr>
        <w:spacing w:before="240"/>
        <w:jc w:val="both"/>
        <w:rPr>
          <w:rFonts w:cs="Arial"/>
          <w:szCs w:val="20"/>
        </w:rPr>
      </w:pPr>
      <w:r w:rsidRPr="00087AB3">
        <w:rPr>
          <w:rFonts w:cs="Arial"/>
          <w:szCs w:val="20"/>
        </w:rPr>
        <w:t xml:space="preserve">Our interpretation of the above </w:t>
      </w:r>
      <w:r w:rsidR="002C2AB7">
        <w:rPr>
          <w:rFonts w:cs="Arial"/>
          <w:szCs w:val="20"/>
        </w:rPr>
        <w:t>agreements</w:t>
      </w:r>
      <w:r w:rsidR="00325ACC">
        <w:rPr>
          <w:rFonts w:cs="Arial"/>
          <w:szCs w:val="20"/>
        </w:rPr>
        <w:t xml:space="preserve"> from RAN1#105-e and RAN1#106-e meetings</w:t>
      </w:r>
      <w:r w:rsidR="002C2AB7">
        <w:rPr>
          <w:rFonts w:cs="Arial"/>
          <w:szCs w:val="20"/>
        </w:rPr>
        <w:t xml:space="preserve"> </w:t>
      </w:r>
      <w:r w:rsidRPr="00087AB3">
        <w:rPr>
          <w:rFonts w:cs="Arial"/>
          <w:szCs w:val="20"/>
        </w:rPr>
        <w:t xml:space="preserve">is that time-domain H/S/NA is always provided to the </w:t>
      </w:r>
      <w:r w:rsidR="00F573B6">
        <w:rPr>
          <w:rFonts w:cs="Arial"/>
          <w:szCs w:val="20"/>
        </w:rPr>
        <w:t>IAB-node</w:t>
      </w:r>
      <w:r w:rsidRPr="00087AB3">
        <w:rPr>
          <w:rFonts w:cs="Arial"/>
          <w:szCs w:val="20"/>
        </w:rPr>
        <w:t xml:space="preserve"> </w:t>
      </w:r>
      <w:r w:rsidR="009A6063" w:rsidRPr="00087AB3">
        <w:rPr>
          <w:rFonts w:cs="Arial"/>
          <w:szCs w:val="20"/>
        </w:rPr>
        <w:t xml:space="preserve">even </w:t>
      </w:r>
      <w:proofErr w:type="gramStart"/>
      <w:r w:rsidR="009A6063" w:rsidRPr="00087AB3">
        <w:rPr>
          <w:rFonts w:cs="Arial"/>
          <w:szCs w:val="20"/>
        </w:rPr>
        <w:t>if ”TDM</w:t>
      </w:r>
      <w:proofErr w:type="gramEnd"/>
      <w:r w:rsidR="009A6063" w:rsidRPr="00087AB3">
        <w:rPr>
          <w:rFonts w:cs="Arial"/>
          <w:szCs w:val="20"/>
        </w:rPr>
        <w:t xml:space="preserve"> not required” is indicated to the IAB-donor-CU. Even though an IAB-node is provided with both TDM and FDM resource multiplexing configurations, the use of TDM or FDM</w:t>
      </w:r>
      <w:r w:rsidRPr="00087AB3">
        <w:rPr>
          <w:rFonts w:cs="Arial"/>
          <w:szCs w:val="20"/>
        </w:rPr>
        <w:t xml:space="preserve"> at an IAB-DU cell</w:t>
      </w:r>
      <w:r w:rsidR="009A6063" w:rsidRPr="00087AB3">
        <w:rPr>
          <w:rFonts w:cs="Arial"/>
          <w:szCs w:val="20"/>
        </w:rPr>
        <w:t xml:space="preserve"> is orthogonal which means </w:t>
      </w:r>
      <w:r w:rsidR="009A655F" w:rsidRPr="00087AB3">
        <w:rPr>
          <w:rFonts w:cs="Arial"/>
          <w:szCs w:val="20"/>
        </w:rPr>
        <w:t>that</w:t>
      </w:r>
      <w:r w:rsidR="009A6063" w:rsidRPr="00087AB3">
        <w:rPr>
          <w:rFonts w:cs="Arial"/>
          <w:szCs w:val="20"/>
        </w:rPr>
        <w:t xml:space="preserve"> for a certain time resource (e.g., a slot) either one or the other multiplexing mode is used. If a slot is </w:t>
      </w:r>
      <w:r w:rsidR="009A655F" w:rsidRPr="00087AB3">
        <w:rPr>
          <w:rFonts w:cs="Arial"/>
          <w:szCs w:val="20"/>
        </w:rPr>
        <w:t xml:space="preserve">configured </w:t>
      </w:r>
      <w:r w:rsidR="009A6063" w:rsidRPr="00087AB3">
        <w:rPr>
          <w:rFonts w:cs="Arial"/>
          <w:szCs w:val="20"/>
        </w:rPr>
        <w:t xml:space="preserve">in TDM mode, the time-domain H/S/NA configurations will apply to the entire bandwidth; whilst if a slot is </w:t>
      </w:r>
      <w:r w:rsidR="009A655F" w:rsidRPr="00087AB3">
        <w:rPr>
          <w:rFonts w:cs="Arial"/>
          <w:szCs w:val="20"/>
        </w:rPr>
        <w:t>configured</w:t>
      </w:r>
      <w:r w:rsidR="009A6063" w:rsidRPr="00087AB3">
        <w:rPr>
          <w:rFonts w:cs="Arial"/>
          <w:szCs w:val="20"/>
        </w:rPr>
        <w:t xml:space="preserve"> in FDM mode, different </w:t>
      </w:r>
      <w:r w:rsidR="00E9437C" w:rsidRPr="00087AB3">
        <w:rPr>
          <w:rFonts w:cs="Arial"/>
          <w:szCs w:val="20"/>
        </w:rPr>
        <w:t>RB</w:t>
      </w:r>
      <w:r w:rsidR="00BE46A7" w:rsidRPr="00087AB3">
        <w:rPr>
          <w:rFonts w:cs="Arial"/>
          <w:szCs w:val="20"/>
        </w:rPr>
        <w:t>-</w:t>
      </w:r>
      <w:r w:rsidR="00E9437C" w:rsidRPr="00087AB3">
        <w:rPr>
          <w:rFonts w:cs="Arial"/>
          <w:szCs w:val="20"/>
        </w:rPr>
        <w:t>Set</w:t>
      </w:r>
      <w:r w:rsidR="009A6063" w:rsidRPr="00087AB3">
        <w:rPr>
          <w:rFonts w:cs="Arial"/>
          <w:szCs w:val="20"/>
        </w:rPr>
        <w:t xml:space="preserve">s within the serving cell bandwidth can be configured with different frequency-domain H/S/NA resources. </w:t>
      </w:r>
      <w:r w:rsidR="00BF027F" w:rsidRPr="00087AB3">
        <w:rPr>
          <w:rFonts w:cs="Arial"/>
          <w:szCs w:val="20"/>
        </w:rPr>
        <w:t xml:space="preserve">This implies that TDM and FDM operation are used in separate time resources such that </w:t>
      </w:r>
      <w:r w:rsidR="009A6063" w:rsidRPr="00087AB3">
        <w:rPr>
          <w:rFonts w:cs="Arial"/>
          <w:szCs w:val="20"/>
        </w:rPr>
        <w:t xml:space="preserve">TDM and FDM can be configured and operate independently. </w:t>
      </w:r>
      <w:r w:rsidR="002C12AF">
        <w:rPr>
          <w:rFonts w:cs="Arial"/>
          <w:szCs w:val="20"/>
        </w:rPr>
        <w:t>The working assumption from the RAN1#106bis-e meeting was rejected in the RAN1#107</w:t>
      </w:r>
      <w:r w:rsidR="00325ACC">
        <w:rPr>
          <w:rFonts w:cs="Arial"/>
          <w:szCs w:val="20"/>
        </w:rPr>
        <w:t>-</w:t>
      </w:r>
      <w:r w:rsidR="002C12AF">
        <w:rPr>
          <w:rFonts w:cs="Arial"/>
          <w:szCs w:val="20"/>
        </w:rPr>
        <w:t xml:space="preserve">e meeting. However, some resolution of the ambiguity regarding what H/S/NA configuration to apply, if both time and frequency domain H/S/NA configurations are provided, is needed. </w:t>
      </w:r>
    </w:p>
    <w:p w14:paraId="55B642DC" w14:textId="00E46973" w:rsidR="00B76DEB" w:rsidRPr="00521A4E" w:rsidRDefault="00B76DEB" w:rsidP="003B2295">
      <w:pPr>
        <w:jc w:val="both"/>
        <w:rPr>
          <w:rFonts w:eastAsiaTheme="minorEastAsia" w:cs="Arial"/>
          <w:lang w:eastAsia="zh-CN"/>
        </w:rPr>
      </w:pPr>
      <w:r w:rsidRPr="1E674C49">
        <w:rPr>
          <w:rFonts w:cs="Arial"/>
        </w:rPr>
        <w:t xml:space="preserve">Specifying a joint application of TDM H/S/NA and FDM H/S/NA will cause substantial problems for backwards compatibility. </w:t>
      </w:r>
      <w:r w:rsidRPr="1E674C49">
        <w:rPr>
          <w:rFonts w:eastAsiaTheme="minorEastAsia" w:cs="Arial"/>
          <w:lang w:eastAsia="zh-CN"/>
        </w:rPr>
        <w:t>Considering H/S/NA definitions for TDM are valid for the whole BW, injecting an FDM H/S/NA configuration within the TDM H/S/NA configuration will violate the TDM H/S/NA definition and the interpretation of, e.g., a TDM Soft IA indication. That would require separate Rel-16 and Rel-17 TDM H/S/NA definitions and thereby increase IAB complexity. Since there are at least equally good alternatives, based on other considerations, there is no reason to deviate from established practice and to specify separate Rel-16 and Rel-17 TDM H/S/NA definitions.</w:t>
      </w:r>
    </w:p>
    <w:p w14:paraId="6B4F6906" w14:textId="1A20BAA4" w:rsidR="00B76DEB" w:rsidRPr="00436252" w:rsidRDefault="00B76DEB" w:rsidP="003B2295">
      <w:pPr>
        <w:pStyle w:val="Proposal"/>
        <w:tabs>
          <w:tab w:val="clear" w:pos="1872"/>
        </w:tabs>
        <w:ind w:left="1304"/>
        <w:rPr>
          <w:rFonts w:cs="Arial"/>
          <w:szCs w:val="20"/>
        </w:rPr>
      </w:pPr>
      <w:bookmarkStart w:id="23" w:name="_Toc87042238"/>
      <w:bookmarkStart w:id="24" w:name="_Toc95772004"/>
      <w:r w:rsidRPr="00521A4E">
        <w:rPr>
          <w:lang w:eastAsia="ja-JP"/>
        </w:rPr>
        <w:t xml:space="preserve">Confirm working assumption that if both Rel-16 </w:t>
      </w:r>
      <w:r w:rsidR="00193538" w:rsidRPr="00521A4E">
        <w:rPr>
          <w:lang w:eastAsia="ja-JP"/>
        </w:rPr>
        <w:t>time</w:t>
      </w:r>
      <w:r w:rsidR="00193538">
        <w:rPr>
          <w:lang w:eastAsia="ja-JP"/>
        </w:rPr>
        <w:t>-</w:t>
      </w:r>
      <w:r w:rsidRPr="00521A4E">
        <w:rPr>
          <w:lang w:eastAsia="ja-JP"/>
        </w:rPr>
        <w:t xml:space="preserve">domain H/S/NA configuration and Rel-17 frequency domain H/S/NA configuration are provided for a given RB set within a slot, an IAB node applies the frequency domain H/S/NA if the IAB node is currently </w:t>
      </w:r>
      <w:r w:rsidRPr="00521A4E">
        <w:rPr>
          <w:lang w:eastAsia="ja-JP"/>
        </w:rPr>
        <w:lastRenderedPageBreak/>
        <w:t>operating in a non-TDM multiplexing mode in the slot, otherwise the Rel-</w:t>
      </w:r>
      <w:proofErr w:type="gramStart"/>
      <w:r w:rsidRPr="00521A4E">
        <w:rPr>
          <w:lang w:eastAsia="ja-JP"/>
        </w:rPr>
        <w:t>16 time</w:t>
      </w:r>
      <w:proofErr w:type="gramEnd"/>
      <w:r w:rsidRPr="00521A4E">
        <w:rPr>
          <w:lang w:eastAsia="ja-JP"/>
        </w:rPr>
        <w:t xml:space="preserve"> domain H/S/NA configuration is applied.</w:t>
      </w:r>
      <w:bookmarkEnd w:id="23"/>
      <w:bookmarkEnd w:id="24"/>
    </w:p>
    <w:p w14:paraId="40D36447" w14:textId="7A72C9D6" w:rsidR="00BC21DD" w:rsidRPr="00B847A7" w:rsidRDefault="00356F62" w:rsidP="003B2295">
      <w:pPr>
        <w:jc w:val="both"/>
      </w:pPr>
      <w:r w:rsidRPr="00087AB3">
        <w:t>Based on a given hardware capability, the IAB-MT and IAB-DU can conduct simultaneous transmission and/or reception, if the operational conditions at the parent node and</w:t>
      </w:r>
      <w:r w:rsidR="00955EBC">
        <w:t>/or</w:t>
      </w:r>
      <w:r w:rsidRPr="00087AB3">
        <w:t xml:space="preserve"> the child node are fulfilled, as well as the conditions on the propagation channel and the network interference level. </w:t>
      </w:r>
      <w:r w:rsidR="00BC21DD" w:rsidRPr="00087AB3">
        <w:t xml:space="preserve">The parent node can be provided with the multiplexing capability information, which has been indicated to the IAB-donor-CU. If the parent node has the information of all H/S/NA configurations that have been provided to the IAB-DU, the parent node can also have a good understanding of which configuration the IAB-node is using, and thereby make </w:t>
      </w:r>
      <w:r w:rsidR="007B3399">
        <w:t xml:space="preserve">an </w:t>
      </w:r>
      <w:r w:rsidR="00BC21DD" w:rsidRPr="00087AB3">
        <w:t xml:space="preserve">appropriate assumption about the resource availability at the IAB-MT. </w:t>
      </w:r>
      <w:r w:rsidR="002C2AB7">
        <w:t>In an operational network</w:t>
      </w:r>
      <w:r w:rsidR="00BC21DD" w:rsidRPr="00087AB3">
        <w:t xml:space="preserve">, the ability to exploit the multiplexing capability of the IAB-node may change due to local circumstances, such as changes of propagation channel, fulfilment of simultaneous operation criteria, etc., in a dynamic way. In this case, the IAB-MT and IAB-DU can be limited to operate in a TDM manner. Without knowing the dynamic conditions or abilities of the </w:t>
      </w:r>
      <w:r w:rsidR="00BC21DD">
        <w:t>IAB-node</w:t>
      </w:r>
      <w:r w:rsidR="00BC21DD" w:rsidRPr="00087AB3">
        <w:t>, the parent node may still schedule transmission from/to the IAB-MT which cannot be carried out by the IAB-node due to the operation at the IAB-DU using overlapping time and/or frequency resource. Therefore, it is beneficial to inform the parent node about the multiplexing-ability changes at the IAB-node.</w:t>
      </w:r>
      <w:bookmarkStart w:id="25" w:name="_Toc75943629"/>
      <w:bookmarkStart w:id="26" w:name="_Toc76035061"/>
      <w:bookmarkStart w:id="27" w:name="_Toc76043318"/>
      <w:bookmarkStart w:id="28" w:name="_Toc76043409"/>
      <w:bookmarkStart w:id="29" w:name="_Toc76043319"/>
      <w:bookmarkStart w:id="30" w:name="_Toc76043410"/>
      <w:bookmarkEnd w:id="25"/>
      <w:bookmarkEnd w:id="26"/>
      <w:bookmarkEnd w:id="27"/>
      <w:bookmarkEnd w:id="28"/>
      <w:bookmarkEnd w:id="29"/>
      <w:bookmarkEnd w:id="30"/>
      <w:r w:rsidR="00B847A7">
        <w:t xml:space="preserve"> </w:t>
      </w:r>
      <w:r w:rsidR="00BC21DD" w:rsidRPr="00087AB3">
        <w:rPr>
          <w:rFonts w:cs="Arial"/>
          <w:szCs w:val="20"/>
        </w:rPr>
        <w:t>When the conditions for simultaneous transmission or reception temporarily fail, the IAB-node should fall back and operate in a TDM mode smoothly, without causing radio link failure. An ACK response from the parent IAB-node is therefore not required when a fallback to TDM occurs.</w:t>
      </w:r>
      <w:r w:rsidR="00F93A97">
        <w:rPr>
          <w:rFonts w:cs="Arial"/>
          <w:szCs w:val="20"/>
        </w:rPr>
        <w:t xml:space="preserve"> For a dynamic fallback request, the signaling can be MAC-CE based or UCI-based:</w:t>
      </w:r>
    </w:p>
    <w:p w14:paraId="6647E585" w14:textId="40921A18" w:rsidR="00C70C05" w:rsidRDefault="00C70C05" w:rsidP="003B2295">
      <w:pPr>
        <w:pStyle w:val="Proposal"/>
        <w:tabs>
          <w:tab w:val="clear" w:pos="1872"/>
        </w:tabs>
        <w:spacing w:before="240"/>
        <w:ind w:left="1304"/>
        <w:rPr>
          <w:lang w:eastAsia="ja-JP"/>
        </w:rPr>
      </w:pPr>
      <w:bookmarkStart w:id="31" w:name="_Toc95772005"/>
      <w:r>
        <w:rPr>
          <w:lang w:eastAsia="ja-JP"/>
        </w:rPr>
        <w:t>RAN1 selects the following two signaling alternatives for the fallback request</w:t>
      </w:r>
      <w:r w:rsidR="0056149A">
        <w:rPr>
          <w:lang w:eastAsia="ja-JP"/>
        </w:rPr>
        <w:t xml:space="preserve"> to TDM operation mode</w:t>
      </w:r>
      <w:r>
        <w:rPr>
          <w:lang w:eastAsia="ja-JP"/>
        </w:rPr>
        <w:t>:</w:t>
      </w:r>
      <w:bookmarkEnd w:id="31"/>
    </w:p>
    <w:p w14:paraId="644FA09D" w14:textId="5B78C5B9" w:rsidR="00C70C05" w:rsidRDefault="00C70C05" w:rsidP="003B2295">
      <w:pPr>
        <w:pStyle w:val="Proposal"/>
        <w:numPr>
          <w:ilvl w:val="0"/>
          <w:numId w:val="0"/>
        </w:numPr>
        <w:ind w:left="1304"/>
      </w:pPr>
      <w:bookmarkStart w:id="32" w:name="_Toc95772006"/>
      <w:r>
        <w:t>Alt1: UCI-based</w:t>
      </w:r>
      <w:bookmarkEnd w:id="32"/>
    </w:p>
    <w:p w14:paraId="43464324" w14:textId="17C6DBB1" w:rsidR="00C70C05" w:rsidRPr="00C70C05" w:rsidRDefault="00C70C05" w:rsidP="003B2295">
      <w:pPr>
        <w:pStyle w:val="Proposal"/>
        <w:numPr>
          <w:ilvl w:val="0"/>
          <w:numId w:val="0"/>
        </w:numPr>
        <w:ind w:left="1304"/>
      </w:pPr>
      <w:bookmarkStart w:id="33" w:name="_Toc95772007"/>
      <w:r>
        <w:t>Alt2: MAC-CE based</w:t>
      </w:r>
      <w:bookmarkEnd w:id="33"/>
    </w:p>
    <w:p w14:paraId="78CFC73A" w14:textId="57308D5D" w:rsidR="00BC21DD" w:rsidRPr="00087AB3" w:rsidRDefault="00BC21DD" w:rsidP="003B2295">
      <w:pPr>
        <w:pStyle w:val="Proposal"/>
        <w:tabs>
          <w:tab w:val="clear" w:pos="1872"/>
        </w:tabs>
        <w:spacing w:before="240"/>
        <w:ind w:left="1304"/>
      </w:pPr>
      <w:bookmarkStart w:id="34" w:name="_Toc95772008"/>
      <w:r w:rsidRPr="00087AB3">
        <w:rPr>
          <w:lang w:eastAsia="ja-JP"/>
        </w:rPr>
        <w:t>Fallback to TDM does not need an ACK response from the parent IAB-node.</w:t>
      </w:r>
      <w:bookmarkEnd w:id="34"/>
    </w:p>
    <w:p w14:paraId="72204B3B" w14:textId="12952FD9" w:rsidR="009A6063" w:rsidRPr="00087AB3" w:rsidRDefault="009A6063" w:rsidP="003B2295">
      <w:pPr>
        <w:pStyle w:val="Heading3"/>
        <w:jc w:val="both"/>
        <w:rPr>
          <w:lang w:val="en-US"/>
        </w:rPr>
      </w:pPr>
      <w:r w:rsidRPr="00087AB3">
        <w:rPr>
          <w:lang w:val="en-US"/>
        </w:rPr>
        <w:t xml:space="preserve">DCI 2_5 for frequency-domain </w:t>
      </w:r>
      <w:proofErr w:type="gramStart"/>
      <w:r w:rsidRPr="00087AB3">
        <w:rPr>
          <w:lang w:val="en-US"/>
        </w:rPr>
        <w:t>Soft</w:t>
      </w:r>
      <w:proofErr w:type="gramEnd"/>
      <w:r w:rsidRPr="00087AB3">
        <w:rPr>
          <w:lang w:val="en-US"/>
        </w:rPr>
        <w:t xml:space="preserve"> resource</w:t>
      </w:r>
    </w:p>
    <w:p w14:paraId="7204CF88" w14:textId="502B1B65" w:rsidR="00080344" w:rsidRPr="00087AB3" w:rsidRDefault="00B32E78" w:rsidP="003B2295">
      <w:pPr>
        <w:jc w:val="both"/>
        <w:rPr>
          <w:lang w:eastAsia="ja-JP"/>
        </w:rPr>
      </w:pPr>
      <w:r>
        <w:rPr>
          <w:lang w:eastAsia="ja-JP"/>
        </w:rPr>
        <w:t xml:space="preserve">For Rel-17 </w:t>
      </w:r>
      <w:proofErr w:type="spellStart"/>
      <w:r>
        <w:rPr>
          <w:lang w:eastAsia="ja-JP"/>
        </w:rPr>
        <w:t>eIAB</w:t>
      </w:r>
      <w:proofErr w:type="spellEnd"/>
      <w:r w:rsidR="00080344" w:rsidRPr="00087AB3">
        <w:rPr>
          <w:lang w:eastAsia="ja-JP"/>
        </w:rPr>
        <w:t>, the following agreement</w:t>
      </w:r>
      <w:r>
        <w:rPr>
          <w:lang w:eastAsia="ja-JP"/>
        </w:rPr>
        <w:t>s</w:t>
      </w:r>
      <w:r w:rsidR="00080344" w:rsidRPr="00087AB3">
        <w:rPr>
          <w:lang w:eastAsia="ja-JP"/>
        </w:rPr>
        <w:t xml:space="preserve"> </w:t>
      </w:r>
      <w:r>
        <w:rPr>
          <w:lang w:eastAsia="ja-JP"/>
        </w:rPr>
        <w:t>were</w:t>
      </w:r>
      <w:r w:rsidR="00080344" w:rsidRPr="00087AB3">
        <w:rPr>
          <w:lang w:eastAsia="ja-JP"/>
        </w:rPr>
        <w:t xml:space="preserve"> made regarding DCI format 2_5</w:t>
      </w:r>
      <w:r w:rsidR="000B7C8E">
        <w:rPr>
          <w:lang w:eastAsia="ja-JP"/>
        </w:rPr>
        <w:t xml:space="preserve"> </w:t>
      </w:r>
      <w:r w:rsidR="000B7C8E">
        <w:rPr>
          <w:lang w:eastAsia="ja-JP"/>
        </w:rPr>
        <w:fldChar w:fldCharType="begin"/>
      </w:r>
      <w:r w:rsidR="000B7C8E">
        <w:rPr>
          <w:lang w:eastAsia="ja-JP"/>
        </w:rPr>
        <w:instrText xml:space="preserve"> REF _Ref89866325 \r \h </w:instrText>
      </w:r>
      <w:r w:rsidR="000B7C8E">
        <w:rPr>
          <w:lang w:eastAsia="ja-JP"/>
        </w:rPr>
      </w:r>
      <w:r w:rsidR="009C54D2">
        <w:rPr>
          <w:lang w:eastAsia="ja-JP"/>
        </w:rPr>
        <w:instrText xml:space="preserve"> \* MERGEFORMAT </w:instrText>
      </w:r>
      <w:r w:rsidR="000B7C8E">
        <w:rPr>
          <w:lang w:eastAsia="ja-JP"/>
        </w:rPr>
        <w:fldChar w:fldCharType="separate"/>
      </w:r>
      <w:r w:rsidR="003B2295">
        <w:rPr>
          <w:lang w:eastAsia="ja-JP"/>
        </w:rPr>
        <w:t>[2]</w:t>
      </w:r>
      <w:r w:rsidR="000B7C8E">
        <w:rPr>
          <w:lang w:eastAsia="ja-JP"/>
        </w:rPr>
        <w:fldChar w:fldCharType="end"/>
      </w:r>
      <w:r w:rsidR="000B7C8E">
        <w:rPr>
          <w:lang w:eastAsia="ja-JP"/>
        </w:rPr>
        <w:t>,</w:t>
      </w:r>
      <w:r w:rsidR="000B7C8E">
        <w:rPr>
          <w:lang w:eastAsia="ja-JP"/>
        </w:rPr>
        <w:fldChar w:fldCharType="begin"/>
      </w:r>
      <w:r w:rsidR="000B7C8E">
        <w:rPr>
          <w:lang w:eastAsia="ja-JP"/>
        </w:rPr>
        <w:instrText xml:space="preserve"> REF _Ref89866327 \r \h </w:instrText>
      </w:r>
      <w:r w:rsidR="000B7C8E">
        <w:rPr>
          <w:lang w:eastAsia="ja-JP"/>
        </w:rPr>
      </w:r>
      <w:r w:rsidR="009C54D2">
        <w:rPr>
          <w:lang w:eastAsia="ja-JP"/>
        </w:rPr>
        <w:instrText xml:space="preserve"> \* MERGEFORMAT </w:instrText>
      </w:r>
      <w:r w:rsidR="000B7C8E">
        <w:rPr>
          <w:lang w:eastAsia="ja-JP"/>
        </w:rPr>
        <w:fldChar w:fldCharType="separate"/>
      </w:r>
      <w:r w:rsidR="003B2295">
        <w:rPr>
          <w:lang w:eastAsia="ja-JP"/>
        </w:rPr>
        <w:t>[3]</w:t>
      </w:r>
      <w:r w:rsidR="000B7C8E">
        <w:rPr>
          <w:lang w:eastAsia="ja-JP"/>
        </w:rPr>
        <w:fldChar w:fldCharType="end"/>
      </w:r>
      <w:r w:rsidR="000B7C8E">
        <w:rPr>
          <w:lang w:eastAsia="ja-JP"/>
        </w:rPr>
        <w:t>,</w:t>
      </w:r>
      <w:r w:rsidR="000B7C8E">
        <w:rPr>
          <w:lang w:eastAsia="ja-JP"/>
        </w:rPr>
        <w:fldChar w:fldCharType="begin"/>
      </w:r>
      <w:r w:rsidR="000B7C8E">
        <w:rPr>
          <w:lang w:eastAsia="ja-JP"/>
        </w:rPr>
        <w:instrText xml:space="preserve"> REF _Ref89866153 \r \h </w:instrText>
      </w:r>
      <w:r w:rsidR="000B7C8E">
        <w:rPr>
          <w:lang w:eastAsia="ja-JP"/>
        </w:rPr>
      </w:r>
      <w:r w:rsidR="009C54D2">
        <w:rPr>
          <w:lang w:eastAsia="ja-JP"/>
        </w:rPr>
        <w:instrText xml:space="preserve"> \* MERGEFORMAT </w:instrText>
      </w:r>
      <w:r w:rsidR="000B7C8E">
        <w:rPr>
          <w:lang w:eastAsia="ja-JP"/>
        </w:rPr>
        <w:fldChar w:fldCharType="separate"/>
      </w:r>
      <w:r w:rsidR="003B2295">
        <w:rPr>
          <w:lang w:eastAsia="ja-JP"/>
        </w:rPr>
        <w:t>[5]</w:t>
      </w:r>
      <w:r w:rsidR="000B7C8E">
        <w:rPr>
          <w:lang w:eastAsia="ja-JP"/>
        </w:rPr>
        <w:fldChar w:fldCharType="end"/>
      </w:r>
      <w:r w:rsidR="000B7C8E">
        <w:rPr>
          <w:lang w:eastAsia="ja-JP"/>
        </w:rPr>
        <w:t>,</w:t>
      </w:r>
      <w:r w:rsidR="000B7C8E">
        <w:rPr>
          <w:lang w:eastAsia="ja-JP"/>
        </w:rPr>
        <w:fldChar w:fldCharType="begin"/>
      </w:r>
      <w:r w:rsidR="000B7C8E">
        <w:rPr>
          <w:lang w:eastAsia="ja-JP"/>
        </w:rPr>
        <w:instrText xml:space="preserve"> REF _Ref89866343 \r \h </w:instrText>
      </w:r>
      <w:r w:rsidR="000B7C8E">
        <w:rPr>
          <w:lang w:eastAsia="ja-JP"/>
        </w:rPr>
      </w:r>
      <w:r w:rsidR="009C54D2">
        <w:rPr>
          <w:lang w:eastAsia="ja-JP"/>
        </w:rPr>
        <w:instrText xml:space="preserve"> \* MERGEFORMAT </w:instrText>
      </w:r>
      <w:r w:rsidR="000B7C8E">
        <w:rPr>
          <w:lang w:eastAsia="ja-JP"/>
        </w:rPr>
        <w:fldChar w:fldCharType="separate"/>
      </w:r>
      <w:r w:rsidR="003B2295">
        <w:rPr>
          <w:lang w:eastAsia="ja-JP"/>
        </w:rPr>
        <w:t>[6]</w:t>
      </w:r>
      <w:r w:rsidR="000B7C8E">
        <w:rPr>
          <w:lang w:eastAsia="ja-JP"/>
        </w:rPr>
        <w:fldChar w:fldCharType="end"/>
      </w:r>
      <w:r w:rsidR="000B7C8E">
        <w:rPr>
          <w:lang w:eastAsia="ja-JP"/>
        </w:rPr>
        <w:t>,</w:t>
      </w:r>
      <w:r w:rsidR="000B7C8E">
        <w:rPr>
          <w:lang w:eastAsia="ja-JP"/>
        </w:rPr>
        <w:fldChar w:fldCharType="begin"/>
      </w:r>
      <w:r w:rsidR="000B7C8E">
        <w:rPr>
          <w:lang w:eastAsia="ja-JP"/>
        </w:rPr>
        <w:instrText xml:space="preserve"> REF _Ref89866345 \r \h </w:instrText>
      </w:r>
      <w:r w:rsidR="000B7C8E">
        <w:rPr>
          <w:lang w:eastAsia="ja-JP"/>
        </w:rPr>
      </w:r>
      <w:r w:rsidR="009C54D2">
        <w:rPr>
          <w:lang w:eastAsia="ja-JP"/>
        </w:rPr>
        <w:instrText xml:space="preserve"> \* MERGEFORMAT </w:instrText>
      </w:r>
      <w:r w:rsidR="000B7C8E">
        <w:rPr>
          <w:lang w:eastAsia="ja-JP"/>
        </w:rPr>
        <w:fldChar w:fldCharType="separate"/>
      </w:r>
      <w:r w:rsidR="003B2295">
        <w:rPr>
          <w:lang w:eastAsia="ja-JP"/>
        </w:rPr>
        <w:t>[7]</w:t>
      </w:r>
      <w:r w:rsidR="000B7C8E">
        <w:rPr>
          <w:lang w:eastAsia="ja-JP"/>
        </w:rPr>
        <w:fldChar w:fldCharType="end"/>
      </w:r>
      <w:r w:rsidR="00080344" w:rsidRPr="00087AB3">
        <w:rPr>
          <w:lang w:eastAsia="ja-JP"/>
        </w:rPr>
        <w:t>:</w:t>
      </w:r>
    </w:p>
    <w:tbl>
      <w:tblPr>
        <w:tblStyle w:val="TableGrid"/>
        <w:tblW w:w="0" w:type="auto"/>
        <w:tblLook w:val="04A0" w:firstRow="1" w:lastRow="0" w:firstColumn="1" w:lastColumn="0" w:noHBand="0" w:noVBand="1"/>
      </w:tblPr>
      <w:tblGrid>
        <w:gridCol w:w="9629"/>
      </w:tblGrid>
      <w:tr w:rsidR="00080344" w:rsidRPr="00087AB3" w14:paraId="56BB564C" w14:textId="77777777" w:rsidTr="00080344">
        <w:tc>
          <w:tcPr>
            <w:tcW w:w="9629" w:type="dxa"/>
          </w:tcPr>
          <w:p w14:paraId="370DA630" w14:textId="5855F21D" w:rsidR="00B32E78" w:rsidRPr="00CA0CA5" w:rsidRDefault="00B32E78" w:rsidP="003B2295">
            <w:pPr>
              <w:jc w:val="both"/>
              <w:rPr>
                <w:rFonts w:cs="Arial"/>
                <w:b/>
                <w:bCs/>
                <w:sz w:val="20"/>
                <w:szCs w:val="20"/>
                <w:lang w:val="en-GB"/>
              </w:rPr>
            </w:pPr>
            <w:r w:rsidRPr="00CA0CA5">
              <w:rPr>
                <w:rFonts w:cs="Arial"/>
                <w:b/>
                <w:bCs/>
                <w:sz w:val="20"/>
                <w:szCs w:val="20"/>
                <w:highlight w:val="green"/>
                <w:lang w:val="en-GB"/>
              </w:rPr>
              <w:t>Agreement</w:t>
            </w:r>
            <w:r w:rsidR="00CA0CA5" w:rsidRPr="00CA0CA5">
              <w:rPr>
                <w:rFonts w:cs="Arial"/>
                <w:b/>
                <w:bCs/>
                <w:sz w:val="20"/>
                <w:szCs w:val="20"/>
                <w:highlight w:val="green"/>
                <w:lang w:val="en-GB"/>
              </w:rPr>
              <w:t xml:space="preserve"> (RAN1#103-e)</w:t>
            </w:r>
          </w:p>
          <w:p w14:paraId="21AD475F" w14:textId="77777777" w:rsidR="00B32E78" w:rsidRPr="00CA0CA5" w:rsidRDefault="00B32E78" w:rsidP="003B2295">
            <w:pPr>
              <w:jc w:val="both"/>
              <w:rPr>
                <w:rFonts w:cs="Arial"/>
                <w:sz w:val="20"/>
                <w:szCs w:val="20"/>
                <w:lang w:val="en-GB"/>
              </w:rPr>
            </w:pPr>
            <w:r w:rsidRPr="00CA0CA5">
              <w:rPr>
                <w:rFonts w:cs="Arial"/>
                <w:sz w:val="20"/>
                <w:szCs w:val="20"/>
                <w:lang w:val="en-GB"/>
              </w:rPr>
              <w:t xml:space="preserve">The Rel-16 explicit indication of soft resources by DCI Format 2_5 is supported for simultaneous operation cases in Rel-17. </w:t>
            </w:r>
          </w:p>
          <w:p w14:paraId="0F97C961" w14:textId="77777777" w:rsidR="00B32E78" w:rsidRPr="00CA0CA5" w:rsidRDefault="00B32E78" w:rsidP="003B2295">
            <w:pPr>
              <w:numPr>
                <w:ilvl w:val="0"/>
                <w:numId w:val="30"/>
              </w:numPr>
              <w:jc w:val="both"/>
              <w:rPr>
                <w:rFonts w:cs="Arial"/>
                <w:sz w:val="20"/>
                <w:szCs w:val="20"/>
                <w:lang w:val="en-GB"/>
              </w:rPr>
            </w:pPr>
            <w:r w:rsidRPr="00CA0CA5">
              <w:rPr>
                <w:rFonts w:cs="Arial"/>
                <w:sz w:val="20"/>
                <w:szCs w:val="20"/>
                <w:lang w:val="en-GB"/>
              </w:rPr>
              <w:t>FFS: Whether/how to extend DCI Format 2_5 to frequency domain resources and/or paired spectrum</w:t>
            </w:r>
          </w:p>
          <w:p w14:paraId="4D1534C0" w14:textId="77777777" w:rsidR="00B32E78" w:rsidRPr="00CA0CA5" w:rsidRDefault="00B32E78" w:rsidP="003B2295">
            <w:pPr>
              <w:numPr>
                <w:ilvl w:val="0"/>
                <w:numId w:val="30"/>
              </w:numPr>
              <w:jc w:val="both"/>
              <w:rPr>
                <w:rFonts w:cs="Arial"/>
                <w:sz w:val="20"/>
                <w:szCs w:val="20"/>
                <w:lang w:val="en-GB"/>
              </w:rPr>
            </w:pPr>
            <w:r w:rsidRPr="00CA0CA5">
              <w:rPr>
                <w:rFonts w:cs="Arial"/>
                <w:sz w:val="20"/>
                <w:szCs w:val="20"/>
                <w:lang w:val="en-GB"/>
              </w:rPr>
              <w:t>FFS: Coexistence of simultaneous operation resources and TDM resources</w:t>
            </w:r>
          </w:p>
          <w:p w14:paraId="5BCE0B43" w14:textId="7EAD18E4" w:rsidR="00B32E78" w:rsidRPr="00CA0CA5" w:rsidRDefault="00B32E78" w:rsidP="003B2295">
            <w:pPr>
              <w:jc w:val="both"/>
              <w:rPr>
                <w:b/>
                <w:bCs/>
                <w:sz w:val="20"/>
                <w:szCs w:val="20"/>
              </w:rPr>
            </w:pPr>
            <w:r w:rsidRPr="00CA0CA5">
              <w:rPr>
                <w:b/>
                <w:bCs/>
                <w:sz w:val="20"/>
                <w:szCs w:val="20"/>
                <w:highlight w:val="green"/>
              </w:rPr>
              <w:t>Agreement</w:t>
            </w:r>
            <w:r w:rsidR="00CA0CA5" w:rsidRPr="00CA0CA5">
              <w:rPr>
                <w:b/>
                <w:bCs/>
                <w:sz w:val="20"/>
                <w:szCs w:val="20"/>
                <w:highlight w:val="green"/>
              </w:rPr>
              <w:t xml:space="preserve"> (RAN1#104bis-e)</w:t>
            </w:r>
          </w:p>
          <w:p w14:paraId="0A92F8C3" w14:textId="77777777" w:rsidR="00B32E78" w:rsidRPr="00CA0CA5" w:rsidRDefault="00B32E78" w:rsidP="003B2295">
            <w:pPr>
              <w:jc w:val="both"/>
              <w:rPr>
                <w:rFonts w:cs="Arial"/>
                <w:sz w:val="20"/>
                <w:szCs w:val="20"/>
                <w:lang w:val="en-GB"/>
              </w:rPr>
            </w:pPr>
            <w:r w:rsidRPr="00CA0CA5">
              <w:rPr>
                <w:rFonts w:cs="Arial"/>
                <w:sz w:val="20"/>
                <w:szCs w:val="20"/>
                <w:lang w:val="en-GB"/>
              </w:rPr>
              <w:t>Soft resource availability indications for frequency-domain resources are supported</w:t>
            </w:r>
          </w:p>
          <w:p w14:paraId="435E0823" w14:textId="77777777" w:rsidR="00B32E78" w:rsidRPr="00CA0CA5" w:rsidRDefault="00B32E78" w:rsidP="003B2295">
            <w:pPr>
              <w:numPr>
                <w:ilvl w:val="0"/>
                <w:numId w:val="32"/>
              </w:numPr>
              <w:tabs>
                <w:tab w:val="left" w:pos="720"/>
              </w:tabs>
              <w:jc w:val="both"/>
              <w:rPr>
                <w:rFonts w:cs="Arial"/>
                <w:sz w:val="20"/>
                <w:szCs w:val="20"/>
                <w:lang w:val="en-GB"/>
              </w:rPr>
            </w:pPr>
            <w:r w:rsidRPr="00CA0CA5">
              <w:rPr>
                <w:rFonts w:cs="Arial"/>
                <w:sz w:val="20"/>
                <w:szCs w:val="20"/>
                <w:lang w:val="en-GB"/>
              </w:rPr>
              <w:t>FFS enhancements to DCI Format 2_5</w:t>
            </w:r>
          </w:p>
          <w:p w14:paraId="7D4EDE3E" w14:textId="55FE1389" w:rsidR="00B32E78" w:rsidRPr="00CA0CA5" w:rsidRDefault="00B32E78" w:rsidP="003B2295">
            <w:pPr>
              <w:numPr>
                <w:ilvl w:val="0"/>
                <w:numId w:val="32"/>
              </w:numPr>
              <w:tabs>
                <w:tab w:val="left" w:pos="720"/>
              </w:tabs>
              <w:jc w:val="both"/>
              <w:rPr>
                <w:rFonts w:cs="Arial"/>
                <w:sz w:val="20"/>
                <w:szCs w:val="20"/>
                <w:lang w:val="en-GB"/>
              </w:rPr>
            </w:pPr>
            <w:r w:rsidRPr="00CA0CA5">
              <w:rPr>
                <w:rFonts w:cs="Arial"/>
                <w:sz w:val="20"/>
                <w:szCs w:val="20"/>
                <w:lang w:val="en-GB"/>
              </w:rPr>
              <w:t>FFS: Separate or joint TDM and FDM indications</w:t>
            </w:r>
          </w:p>
          <w:p w14:paraId="17CA366A" w14:textId="4E2C0768" w:rsidR="00B32E78" w:rsidRPr="00CA0CA5" w:rsidRDefault="00B32E78" w:rsidP="003B2295">
            <w:pPr>
              <w:jc w:val="both"/>
              <w:rPr>
                <w:rFonts w:cs="Arial"/>
                <w:b/>
                <w:bCs/>
                <w:sz w:val="20"/>
                <w:szCs w:val="20"/>
                <w:highlight w:val="green"/>
                <w:lang w:val="en-GB"/>
              </w:rPr>
            </w:pPr>
            <w:r w:rsidRPr="00CA0CA5">
              <w:rPr>
                <w:rFonts w:cs="Arial"/>
                <w:b/>
                <w:bCs/>
                <w:sz w:val="20"/>
                <w:szCs w:val="20"/>
                <w:highlight w:val="green"/>
                <w:lang w:val="en-GB"/>
              </w:rPr>
              <w:t>Agreement</w:t>
            </w:r>
            <w:r w:rsidR="00CA0CA5" w:rsidRPr="00CA0CA5">
              <w:rPr>
                <w:rFonts w:cs="Arial"/>
                <w:b/>
                <w:bCs/>
                <w:sz w:val="20"/>
                <w:szCs w:val="20"/>
                <w:highlight w:val="green"/>
                <w:lang w:val="en-GB"/>
              </w:rPr>
              <w:t xml:space="preserve"> (RAN1#105-e)</w:t>
            </w:r>
          </w:p>
          <w:p w14:paraId="439635A2" w14:textId="77777777" w:rsidR="00B32E78" w:rsidRPr="00CA0CA5" w:rsidRDefault="00B32E78" w:rsidP="003B2295">
            <w:pPr>
              <w:jc w:val="both"/>
              <w:rPr>
                <w:rFonts w:cs="Arial"/>
                <w:sz w:val="20"/>
                <w:szCs w:val="20"/>
                <w:lang w:val="en-GB"/>
              </w:rPr>
            </w:pPr>
            <w:r w:rsidRPr="00CA0CA5">
              <w:rPr>
                <w:rFonts w:cs="Arial"/>
                <w:sz w:val="20"/>
                <w:szCs w:val="20"/>
                <w:lang w:val="en-GB"/>
              </w:rPr>
              <w:t>DCI Format 2_5 is reused to support soft resource availability indications for frequency-domain resources</w:t>
            </w:r>
          </w:p>
          <w:p w14:paraId="7CAEA851" w14:textId="0F4058CC" w:rsidR="00B32E78" w:rsidRPr="00CA0CA5" w:rsidRDefault="00B32E78" w:rsidP="003B2295">
            <w:pPr>
              <w:jc w:val="both"/>
              <w:rPr>
                <w:rFonts w:cs="Arial"/>
                <w:sz w:val="20"/>
                <w:szCs w:val="20"/>
                <w:lang w:val="en-GB"/>
              </w:rPr>
            </w:pPr>
            <w:r w:rsidRPr="00CA0CA5">
              <w:rPr>
                <w:rFonts w:cs="Arial"/>
                <w:sz w:val="20"/>
                <w:szCs w:val="20"/>
                <w:lang w:val="en-GB"/>
              </w:rPr>
              <w:t>FFS: If additional enhancements are necessary</w:t>
            </w:r>
          </w:p>
          <w:p w14:paraId="50A4C9AB" w14:textId="59AEF0C5" w:rsidR="00B32E78" w:rsidRPr="00CA0CA5" w:rsidRDefault="00B32E78" w:rsidP="003B2295">
            <w:pPr>
              <w:jc w:val="both"/>
              <w:rPr>
                <w:rFonts w:cs="Arial"/>
                <w:b/>
                <w:bCs/>
                <w:sz w:val="20"/>
                <w:szCs w:val="20"/>
                <w:highlight w:val="green"/>
                <w:lang w:val="en-GB"/>
              </w:rPr>
            </w:pPr>
            <w:r w:rsidRPr="00CA0CA5">
              <w:rPr>
                <w:rFonts w:cs="Arial"/>
                <w:b/>
                <w:bCs/>
                <w:sz w:val="20"/>
                <w:szCs w:val="20"/>
                <w:highlight w:val="green"/>
                <w:lang w:val="en-GB"/>
              </w:rPr>
              <w:t>Agreement</w:t>
            </w:r>
            <w:r w:rsidR="00CA0CA5" w:rsidRPr="00CA0CA5">
              <w:rPr>
                <w:rFonts w:cs="Arial"/>
                <w:b/>
                <w:bCs/>
                <w:sz w:val="20"/>
                <w:szCs w:val="20"/>
                <w:highlight w:val="green"/>
                <w:lang w:val="en-GB"/>
              </w:rPr>
              <w:t xml:space="preserve"> (RAN1#106bis-e)</w:t>
            </w:r>
          </w:p>
          <w:p w14:paraId="5CD98E65" w14:textId="77777777" w:rsidR="00B32E78" w:rsidRPr="00CA0CA5" w:rsidRDefault="00B32E78" w:rsidP="003B2295">
            <w:pPr>
              <w:jc w:val="both"/>
              <w:rPr>
                <w:rFonts w:cs="Arial"/>
                <w:sz w:val="20"/>
                <w:szCs w:val="20"/>
                <w:lang w:val="en-GB"/>
              </w:rPr>
            </w:pPr>
            <w:r w:rsidRPr="00CA0CA5">
              <w:rPr>
                <w:rFonts w:cs="Arial"/>
                <w:sz w:val="20"/>
                <w:szCs w:val="20"/>
                <w:lang w:val="en-GB"/>
              </w:rPr>
              <w:lastRenderedPageBreak/>
              <w:t>A single DCI format 2_5 can be received indicating availability for the soft resources of the respective RB sets corresponding to a given time resource of the child IAB-DU cell.</w:t>
            </w:r>
          </w:p>
          <w:p w14:paraId="21389A66" w14:textId="77777777" w:rsidR="00B32E78" w:rsidRPr="00CA0CA5" w:rsidRDefault="00B32E78" w:rsidP="003B2295">
            <w:pPr>
              <w:numPr>
                <w:ilvl w:val="0"/>
                <w:numId w:val="33"/>
              </w:numPr>
              <w:tabs>
                <w:tab w:val="left" w:pos="720"/>
              </w:tabs>
              <w:jc w:val="both"/>
              <w:rPr>
                <w:rFonts w:cs="Arial"/>
                <w:sz w:val="20"/>
                <w:szCs w:val="20"/>
                <w:lang w:val="en-GB"/>
              </w:rPr>
            </w:pPr>
            <w:r w:rsidRPr="00CA0CA5">
              <w:rPr>
                <w:rFonts w:cs="Arial"/>
                <w:sz w:val="20"/>
                <w:szCs w:val="20"/>
                <w:lang w:val="en-GB"/>
              </w:rPr>
              <w:t>FFS: Extension of </w:t>
            </w:r>
            <w:proofErr w:type="spellStart"/>
            <w:r w:rsidRPr="00CA0CA5">
              <w:rPr>
                <w:rFonts w:cs="Arial"/>
                <w:i/>
                <w:iCs/>
                <w:sz w:val="20"/>
                <w:szCs w:val="20"/>
                <w:lang w:val="en-GB"/>
              </w:rPr>
              <w:t>AvailabiltyCombination</w:t>
            </w:r>
            <w:proofErr w:type="spellEnd"/>
            <w:r w:rsidRPr="00CA0CA5">
              <w:rPr>
                <w:rFonts w:cs="Arial"/>
                <w:sz w:val="20"/>
                <w:szCs w:val="20"/>
                <w:lang w:val="en-GB"/>
              </w:rPr>
              <w:t> to include multiple RB sets in a </w:t>
            </w:r>
            <w:proofErr w:type="spellStart"/>
            <w:r w:rsidRPr="00CA0CA5">
              <w:rPr>
                <w:rFonts w:cs="Arial"/>
                <w:i/>
                <w:iCs/>
                <w:sz w:val="20"/>
                <w:szCs w:val="20"/>
                <w:lang w:val="en-GB"/>
              </w:rPr>
              <w:t>resourceAvailabilty</w:t>
            </w:r>
            <w:proofErr w:type="spellEnd"/>
            <w:r w:rsidRPr="00CA0CA5">
              <w:rPr>
                <w:rFonts w:cs="Arial"/>
                <w:i/>
                <w:iCs/>
                <w:sz w:val="20"/>
                <w:szCs w:val="20"/>
                <w:lang w:val="en-GB"/>
              </w:rPr>
              <w:t xml:space="preserve"> </w:t>
            </w:r>
            <w:r w:rsidRPr="00CA0CA5">
              <w:rPr>
                <w:rFonts w:cs="Arial"/>
                <w:sz w:val="20"/>
                <w:szCs w:val="20"/>
                <w:lang w:val="en-GB"/>
              </w:rPr>
              <w:t>indication</w:t>
            </w:r>
          </w:p>
          <w:p w14:paraId="13880F80" w14:textId="77777777" w:rsidR="00B32E78" w:rsidRPr="00CA0CA5" w:rsidRDefault="00B32E78" w:rsidP="003B2295">
            <w:pPr>
              <w:numPr>
                <w:ilvl w:val="0"/>
                <w:numId w:val="33"/>
              </w:numPr>
              <w:tabs>
                <w:tab w:val="left" w:pos="720"/>
              </w:tabs>
              <w:jc w:val="both"/>
              <w:rPr>
                <w:rFonts w:cs="Arial"/>
                <w:sz w:val="20"/>
                <w:szCs w:val="20"/>
                <w:lang w:val="en-GB"/>
              </w:rPr>
            </w:pPr>
            <w:r w:rsidRPr="00CA0CA5">
              <w:rPr>
                <w:rFonts w:cs="Arial"/>
                <w:sz w:val="20"/>
                <w:szCs w:val="20"/>
                <w:lang w:val="en-GB"/>
              </w:rPr>
              <w:t>FFS: Update</w:t>
            </w:r>
            <w:r w:rsidRPr="00CA0CA5">
              <w:rPr>
                <w:rFonts w:cs="Arial"/>
                <w:i/>
                <w:iCs/>
                <w:sz w:val="20"/>
                <w:szCs w:val="20"/>
                <w:lang w:val="en-GB"/>
              </w:rPr>
              <w:t> </w:t>
            </w:r>
            <w:proofErr w:type="spellStart"/>
            <w:r w:rsidRPr="00CA0CA5">
              <w:rPr>
                <w:rFonts w:cs="Arial"/>
                <w:i/>
                <w:iCs/>
                <w:sz w:val="20"/>
                <w:szCs w:val="20"/>
                <w:lang w:val="en-GB"/>
              </w:rPr>
              <w:t>resourceAvailability</w:t>
            </w:r>
            <w:proofErr w:type="spellEnd"/>
            <w:r w:rsidRPr="00CA0CA5">
              <w:rPr>
                <w:rFonts w:cs="Arial"/>
                <w:sz w:val="20"/>
                <w:szCs w:val="20"/>
                <w:lang w:val="en-GB"/>
              </w:rPr>
              <w:t> mapping table defined in TS38.213 so that the indication of availability can be applied over soft resources in frequency-domain for DL or UL or Flexible symbols.</w:t>
            </w:r>
          </w:p>
          <w:p w14:paraId="78C22DDA" w14:textId="1D08503F" w:rsidR="00B32E78" w:rsidRPr="00CA0CA5" w:rsidRDefault="00B32E78" w:rsidP="003B2295">
            <w:pPr>
              <w:numPr>
                <w:ilvl w:val="0"/>
                <w:numId w:val="33"/>
              </w:numPr>
              <w:tabs>
                <w:tab w:val="left" w:pos="720"/>
              </w:tabs>
              <w:jc w:val="both"/>
              <w:rPr>
                <w:rFonts w:cs="Arial"/>
                <w:sz w:val="20"/>
                <w:szCs w:val="20"/>
                <w:lang w:val="en-GB"/>
              </w:rPr>
            </w:pPr>
            <w:r w:rsidRPr="00CA0CA5">
              <w:rPr>
                <w:rFonts w:cs="Arial"/>
                <w:sz w:val="20"/>
                <w:szCs w:val="20"/>
                <w:lang w:val="en-GB"/>
              </w:rPr>
              <w:t xml:space="preserve">FFS: Need for extension of the maximum payload size of DCI format 2_5 to increase the number of IAB-DU cells that can be provided with availability information for </w:t>
            </w:r>
            <w:proofErr w:type="gramStart"/>
            <w:r w:rsidRPr="00CA0CA5">
              <w:rPr>
                <w:rFonts w:cs="Arial"/>
                <w:sz w:val="20"/>
                <w:szCs w:val="20"/>
                <w:lang w:val="en-GB"/>
              </w:rPr>
              <w:t>Soft</w:t>
            </w:r>
            <w:proofErr w:type="gramEnd"/>
            <w:r w:rsidRPr="00CA0CA5">
              <w:rPr>
                <w:rFonts w:cs="Arial"/>
                <w:sz w:val="20"/>
                <w:szCs w:val="20"/>
                <w:lang w:val="en-GB"/>
              </w:rPr>
              <w:t xml:space="preserve"> resources to accommodate the maximum number of possible RB sets for a given DU cell (if defined), or other backwards compatible </w:t>
            </w:r>
            <w:proofErr w:type="spellStart"/>
            <w:r w:rsidRPr="00CA0CA5">
              <w:rPr>
                <w:rFonts w:cs="Arial"/>
                <w:sz w:val="20"/>
                <w:szCs w:val="20"/>
                <w:lang w:val="en-GB"/>
              </w:rPr>
              <w:t>signaling</w:t>
            </w:r>
            <w:proofErr w:type="spellEnd"/>
            <w:r w:rsidRPr="00CA0CA5">
              <w:rPr>
                <w:rFonts w:cs="Arial"/>
                <w:sz w:val="20"/>
                <w:szCs w:val="20"/>
                <w:lang w:val="en-GB"/>
              </w:rPr>
              <w:t xml:space="preserve"> extensions in case the principal indication capabilities of DCI format 2_5 are increased.</w:t>
            </w:r>
          </w:p>
          <w:p w14:paraId="4EC3011D" w14:textId="3319FAF2" w:rsidR="00AC5DF5" w:rsidRPr="00CA0CA5" w:rsidRDefault="00AC5DF5" w:rsidP="003B2295">
            <w:pPr>
              <w:jc w:val="both"/>
              <w:rPr>
                <w:rFonts w:cs="Arial"/>
                <w:sz w:val="20"/>
                <w:szCs w:val="20"/>
                <w:lang w:val="en-GB"/>
              </w:rPr>
            </w:pPr>
            <w:r w:rsidRPr="00CA0CA5">
              <w:rPr>
                <w:rFonts w:cs="Arial"/>
                <w:b/>
                <w:bCs/>
                <w:sz w:val="20"/>
                <w:szCs w:val="20"/>
                <w:highlight w:val="green"/>
                <w:lang w:val="en-GB"/>
              </w:rPr>
              <w:t>Agreement</w:t>
            </w:r>
            <w:r w:rsidR="00CA0CA5" w:rsidRPr="00CA0CA5">
              <w:rPr>
                <w:rFonts w:cs="Arial"/>
                <w:b/>
                <w:bCs/>
                <w:sz w:val="20"/>
                <w:szCs w:val="20"/>
                <w:highlight w:val="green"/>
                <w:lang w:val="en-GB"/>
              </w:rPr>
              <w:t xml:space="preserve"> (RAN1#107-e)</w:t>
            </w:r>
          </w:p>
          <w:p w14:paraId="2A0E90E0" w14:textId="77777777" w:rsidR="00AC5DF5" w:rsidRPr="00CA0CA5" w:rsidRDefault="00AC5DF5" w:rsidP="003B2295">
            <w:pPr>
              <w:jc w:val="both"/>
              <w:rPr>
                <w:rFonts w:cs="Arial"/>
                <w:sz w:val="20"/>
                <w:szCs w:val="20"/>
                <w:lang w:val="en-GB"/>
              </w:rPr>
            </w:pPr>
            <w:r w:rsidRPr="00CA0CA5">
              <w:rPr>
                <w:rFonts w:cs="Arial"/>
                <w:sz w:val="20"/>
                <w:szCs w:val="20"/>
                <w:lang w:val="en-GB"/>
              </w:rPr>
              <w:t>For DCI format 2_5 indicating availability for the soft resources of the respective RB sets corresponding to a given time resource of the child IAB-DU cell:</w:t>
            </w:r>
          </w:p>
          <w:p w14:paraId="0BD8A4F7" w14:textId="77777777" w:rsidR="00AC5DF5" w:rsidRPr="00CA0CA5" w:rsidRDefault="00AC5DF5" w:rsidP="003B2295">
            <w:pPr>
              <w:numPr>
                <w:ilvl w:val="0"/>
                <w:numId w:val="18"/>
              </w:numPr>
              <w:jc w:val="both"/>
              <w:rPr>
                <w:rFonts w:cs="Arial"/>
                <w:sz w:val="20"/>
                <w:szCs w:val="20"/>
                <w:lang w:val="en-GB"/>
              </w:rPr>
            </w:pPr>
            <w:proofErr w:type="spellStart"/>
            <w:r w:rsidRPr="00CA0CA5">
              <w:rPr>
                <w:rFonts w:cs="Arial"/>
                <w:i/>
                <w:iCs/>
                <w:sz w:val="20"/>
                <w:szCs w:val="20"/>
                <w:lang w:val="en-GB"/>
              </w:rPr>
              <w:t>AvailabiltyCombination</w:t>
            </w:r>
            <w:proofErr w:type="spellEnd"/>
            <w:r w:rsidRPr="00CA0CA5">
              <w:rPr>
                <w:rFonts w:cs="Arial"/>
                <w:sz w:val="20"/>
                <w:szCs w:val="20"/>
                <w:lang w:val="en-GB"/>
              </w:rPr>
              <w:t xml:space="preserve"> can be extended to include multiple </w:t>
            </w:r>
            <w:proofErr w:type="spellStart"/>
            <w:r w:rsidRPr="00CA0CA5">
              <w:rPr>
                <w:rFonts w:cs="Arial"/>
                <w:i/>
                <w:iCs/>
                <w:sz w:val="20"/>
                <w:szCs w:val="20"/>
                <w:lang w:val="en-GB"/>
              </w:rPr>
              <w:t>resourceAvailabilty</w:t>
            </w:r>
            <w:proofErr w:type="spellEnd"/>
            <w:r w:rsidRPr="00CA0CA5">
              <w:rPr>
                <w:rFonts w:cs="Arial"/>
                <w:sz w:val="20"/>
                <w:szCs w:val="20"/>
                <w:lang w:val="en-GB"/>
              </w:rPr>
              <w:t xml:space="preserve">, where each </w:t>
            </w:r>
            <w:proofErr w:type="spellStart"/>
            <w:r w:rsidRPr="00CA0CA5">
              <w:rPr>
                <w:rFonts w:cs="Arial"/>
                <w:i/>
                <w:iCs/>
                <w:sz w:val="20"/>
                <w:szCs w:val="20"/>
                <w:lang w:val="en-GB"/>
              </w:rPr>
              <w:t>resourceAvailabilty</w:t>
            </w:r>
            <w:proofErr w:type="spellEnd"/>
            <w:r w:rsidRPr="00CA0CA5">
              <w:rPr>
                <w:rFonts w:cs="Arial"/>
                <w:sz w:val="20"/>
                <w:szCs w:val="20"/>
                <w:lang w:val="en-GB"/>
              </w:rPr>
              <w:t xml:space="preserve"> includes availability indication for one RB set group</w:t>
            </w:r>
          </w:p>
          <w:p w14:paraId="790883F5" w14:textId="113D4511" w:rsidR="00080344" w:rsidRPr="00675C33" w:rsidRDefault="00AC5DF5" w:rsidP="003B2295">
            <w:pPr>
              <w:numPr>
                <w:ilvl w:val="0"/>
                <w:numId w:val="18"/>
              </w:numPr>
              <w:tabs>
                <w:tab w:val="left" w:pos="720"/>
              </w:tabs>
              <w:spacing w:before="120" w:after="100" w:afterAutospacing="1"/>
              <w:jc w:val="both"/>
              <w:rPr>
                <w:rFonts w:cs="Times"/>
                <w:szCs w:val="20"/>
                <w:lang w:val="en-GB" w:eastAsia="zh-CN"/>
              </w:rPr>
            </w:pPr>
            <w:r w:rsidRPr="00CA0CA5">
              <w:rPr>
                <w:rFonts w:cs="Arial"/>
                <w:sz w:val="20"/>
                <w:szCs w:val="20"/>
                <w:lang w:val="en-GB"/>
              </w:rPr>
              <w:t>One RB set group consists of one or multiple RB sets</w:t>
            </w:r>
          </w:p>
        </w:tc>
      </w:tr>
    </w:tbl>
    <w:p w14:paraId="0F52DE7F" w14:textId="0469DE5E" w:rsidR="00603E27" w:rsidRDefault="00524EFA" w:rsidP="003B2295">
      <w:pPr>
        <w:spacing w:before="240"/>
        <w:jc w:val="both"/>
        <w:rPr>
          <w:rFonts w:cs="Arial"/>
          <w:szCs w:val="20"/>
        </w:rPr>
      </w:pPr>
      <w:r>
        <w:rPr>
          <w:rFonts w:cs="Arial"/>
          <w:szCs w:val="20"/>
        </w:rPr>
        <w:lastRenderedPageBreak/>
        <w:t>Our understanding is that</w:t>
      </w:r>
      <w:r w:rsidRPr="00087AB3">
        <w:rPr>
          <w:rFonts w:cs="Arial"/>
          <w:szCs w:val="20"/>
        </w:rPr>
        <w:t xml:space="preserve"> the </w:t>
      </w:r>
      <w:r>
        <w:rPr>
          <w:rFonts w:cs="Arial"/>
          <w:szCs w:val="20"/>
        </w:rPr>
        <w:t xml:space="preserve">semi-static </w:t>
      </w:r>
      <w:r w:rsidRPr="00087AB3">
        <w:rPr>
          <w:rFonts w:cs="Arial"/>
          <w:szCs w:val="20"/>
        </w:rPr>
        <w:t xml:space="preserve">TDM and FDM resource configurations should be configured and provided separately. Accordingly, the availability indication of TDM soft resource and FDM soft resource should also be configured and provided independently. </w:t>
      </w:r>
      <w:r>
        <w:rPr>
          <w:rFonts w:cs="Arial"/>
          <w:szCs w:val="20"/>
        </w:rPr>
        <w:t>I</w:t>
      </w:r>
      <w:r w:rsidRPr="00087AB3">
        <w:rPr>
          <w:rFonts w:cs="Arial"/>
          <w:szCs w:val="20"/>
        </w:rPr>
        <w:t>n FDM, the availability of frequency domain soft resources over time could be indicated in a similar way as the time domain soft resource.</w:t>
      </w:r>
      <w:r>
        <w:rPr>
          <w:rFonts w:cs="Arial"/>
          <w:szCs w:val="20"/>
        </w:rPr>
        <w:t xml:space="preserve"> In the RAN1#107-e meeting, enhanced </w:t>
      </w:r>
      <w:proofErr w:type="spellStart"/>
      <w:r>
        <w:rPr>
          <w:rFonts w:cs="Arial"/>
          <w:szCs w:val="20"/>
        </w:rPr>
        <w:t>AvailabilityCombinationsPerCell</w:t>
      </w:r>
      <w:proofErr w:type="spellEnd"/>
      <w:r>
        <w:rPr>
          <w:rFonts w:cs="Arial"/>
          <w:szCs w:val="20"/>
        </w:rPr>
        <w:t xml:space="preserve"> for frequency domain soft resource was agreed. However, the extract below </w:t>
      </w:r>
      <w:r w:rsidR="00F77E64">
        <w:rPr>
          <w:rFonts w:cs="Arial"/>
          <w:szCs w:val="20"/>
        </w:rPr>
        <w:t xml:space="preserve">from the CR of TS 38.213 after the RAN1#107-e </w:t>
      </w:r>
      <w:r w:rsidR="0078520B">
        <w:rPr>
          <w:rFonts w:cs="Arial"/>
          <w:szCs w:val="20"/>
        </w:rPr>
        <w:t>meeting</w:t>
      </w:r>
      <w:r w:rsidR="006B4F94">
        <w:rPr>
          <w:rFonts w:cs="Arial"/>
          <w:szCs w:val="20"/>
        </w:rPr>
        <w:t xml:space="preserve"> </w:t>
      </w:r>
      <w:r w:rsidR="006B4F94">
        <w:rPr>
          <w:rFonts w:cs="Arial"/>
          <w:szCs w:val="20"/>
        </w:rPr>
        <w:fldChar w:fldCharType="begin"/>
      </w:r>
      <w:r w:rsidR="006B4F94">
        <w:rPr>
          <w:rFonts w:cs="Arial"/>
          <w:szCs w:val="20"/>
        </w:rPr>
        <w:instrText xml:space="preserve"> REF _Ref89867068 \r \h </w:instrText>
      </w:r>
      <w:r w:rsidR="006B4F94">
        <w:rPr>
          <w:rFonts w:cs="Arial"/>
          <w:szCs w:val="20"/>
        </w:rPr>
      </w:r>
      <w:r w:rsidR="009C54D2">
        <w:rPr>
          <w:rFonts w:cs="Arial"/>
          <w:szCs w:val="20"/>
        </w:rPr>
        <w:instrText xml:space="preserve"> \* MERGEFORMAT </w:instrText>
      </w:r>
      <w:r w:rsidR="006B4F94">
        <w:rPr>
          <w:rFonts w:cs="Arial"/>
          <w:szCs w:val="20"/>
        </w:rPr>
        <w:fldChar w:fldCharType="separate"/>
      </w:r>
      <w:r w:rsidR="003B2295">
        <w:rPr>
          <w:rFonts w:cs="Arial"/>
          <w:szCs w:val="20"/>
        </w:rPr>
        <w:t>[9]</w:t>
      </w:r>
      <w:r w:rsidR="006B4F94">
        <w:rPr>
          <w:rFonts w:cs="Arial"/>
          <w:szCs w:val="20"/>
        </w:rPr>
        <w:fldChar w:fldCharType="end"/>
      </w:r>
      <w:r>
        <w:rPr>
          <w:rFonts w:cs="Arial"/>
          <w:szCs w:val="20"/>
        </w:rPr>
        <w:t xml:space="preserve">, is not clear if </w:t>
      </w:r>
      <w:r w:rsidR="00AA1FE4">
        <w:rPr>
          <w:rFonts w:cs="Arial"/>
          <w:szCs w:val="20"/>
        </w:rPr>
        <w:t xml:space="preserve">each IAB-DU cell can be provided with two higher layer parameter </w:t>
      </w:r>
      <w:proofErr w:type="spellStart"/>
      <w:r w:rsidR="00AA1FE4" w:rsidRPr="00AA1FE4">
        <w:rPr>
          <w:rFonts w:cs="Arial"/>
          <w:i/>
          <w:iCs/>
          <w:szCs w:val="20"/>
        </w:rPr>
        <w:t>availabilityCombinations</w:t>
      </w:r>
      <w:proofErr w:type="spellEnd"/>
      <w:r w:rsidR="00AA1FE4">
        <w:rPr>
          <w:rFonts w:cs="Arial"/>
          <w:szCs w:val="20"/>
        </w:rPr>
        <w:t xml:space="preserve">, for TDM and FDM resource respectively; or each IAB-DU cell is provided with one </w:t>
      </w:r>
      <w:proofErr w:type="spellStart"/>
      <w:r w:rsidR="00AA1FE4" w:rsidRPr="00AA1FE4">
        <w:rPr>
          <w:rFonts w:cs="Arial"/>
          <w:i/>
          <w:iCs/>
          <w:szCs w:val="20"/>
        </w:rPr>
        <w:t>availabilityCombinations</w:t>
      </w:r>
      <w:proofErr w:type="spellEnd"/>
      <w:r w:rsidR="00AA1FE4">
        <w:rPr>
          <w:rFonts w:cs="Arial"/>
          <w:szCs w:val="20"/>
        </w:rPr>
        <w:t xml:space="preserve"> which can contain both time-domain and frequency-domain availability Combinations</w:t>
      </w:r>
    </w:p>
    <w:tbl>
      <w:tblPr>
        <w:tblStyle w:val="TableGrid"/>
        <w:tblW w:w="0" w:type="auto"/>
        <w:tblLook w:val="04A0" w:firstRow="1" w:lastRow="0" w:firstColumn="1" w:lastColumn="0" w:noHBand="0" w:noVBand="1"/>
      </w:tblPr>
      <w:tblGrid>
        <w:gridCol w:w="9629"/>
      </w:tblGrid>
      <w:tr w:rsidR="00603E27" w:rsidRPr="00087AB3" w14:paraId="6EB38F48" w14:textId="77777777" w:rsidTr="00E374B2">
        <w:tc>
          <w:tcPr>
            <w:tcW w:w="9629" w:type="dxa"/>
          </w:tcPr>
          <w:p w14:paraId="22B3E0B9" w14:textId="77777777" w:rsidR="00603E27" w:rsidRDefault="00603E27" w:rsidP="003B2295">
            <w:pPr>
              <w:jc w:val="both"/>
              <w:rPr>
                <w:rFonts w:cs="Times"/>
                <w:b/>
                <w:sz w:val="20"/>
                <w:szCs w:val="20"/>
              </w:rPr>
            </w:pPr>
          </w:p>
          <w:p w14:paraId="1C726CF0" w14:textId="2E6A4F51" w:rsidR="00F77E64" w:rsidRPr="00524EFA" w:rsidRDefault="00F77E64" w:rsidP="003B2295">
            <w:pPr>
              <w:pStyle w:val="BodyText"/>
              <w:rPr>
                <w:sz w:val="20"/>
                <w:szCs w:val="20"/>
              </w:rPr>
            </w:pPr>
            <w:r w:rsidRPr="00524EFA">
              <w:rPr>
                <w:sz w:val="20"/>
                <w:szCs w:val="20"/>
              </w:rPr>
              <w:t>- - - - - - - - - - - - - - - - Extract from TS 38.213 - - - - - - - - - - - - - - - - - -</w:t>
            </w:r>
          </w:p>
          <w:p w14:paraId="7503684B" w14:textId="77777777" w:rsidR="00F77E64" w:rsidRPr="00524EFA" w:rsidRDefault="00F77E64" w:rsidP="003B2295">
            <w:pPr>
              <w:jc w:val="both"/>
              <w:rPr>
                <w:rFonts w:eastAsia="SimSun"/>
                <w:sz w:val="20"/>
                <w:szCs w:val="20"/>
              </w:rPr>
            </w:pPr>
            <w:r w:rsidRPr="00524EFA">
              <w:rPr>
                <w:rFonts w:eastAsia="SimSun"/>
                <w:sz w:val="20"/>
                <w:szCs w:val="20"/>
                <w:lang w:eastAsia="zh-CN"/>
              </w:rPr>
              <w:t xml:space="preserve">If an IAB-node is provided an </w:t>
            </w:r>
            <w:proofErr w:type="spellStart"/>
            <w:r w:rsidRPr="00524EFA">
              <w:rPr>
                <w:rFonts w:eastAsia="SimSun"/>
                <w:i/>
                <w:iCs/>
                <w:sz w:val="20"/>
                <w:szCs w:val="20"/>
                <w:lang w:eastAsia="zh-CN"/>
              </w:rPr>
              <w:t>AvailabilityIndicator</w:t>
            </w:r>
            <w:proofErr w:type="spellEnd"/>
            <w:r w:rsidRPr="00524EFA">
              <w:rPr>
                <w:rFonts w:eastAsia="SimSun"/>
                <w:sz w:val="20"/>
                <w:szCs w:val="20"/>
              </w:rPr>
              <w:t xml:space="preserve">, the IAB-node is provided an AI-RNTI by </w:t>
            </w:r>
            <w:r w:rsidRPr="00524EFA">
              <w:rPr>
                <w:rFonts w:eastAsia="SimSun"/>
                <w:i/>
                <w:sz w:val="20"/>
                <w:szCs w:val="20"/>
              </w:rPr>
              <w:t>ai-RNTI</w:t>
            </w:r>
            <w:r w:rsidRPr="00524EFA">
              <w:rPr>
                <w:rFonts w:eastAsia="SimSun"/>
                <w:sz w:val="20"/>
                <w:szCs w:val="20"/>
              </w:rPr>
              <w:t xml:space="preserve"> and a payload size of a DCI format 2_5 by </w:t>
            </w:r>
            <w:r w:rsidRPr="00524EFA">
              <w:rPr>
                <w:rFonts w:eastAsia="SimSun"/>
                <w:i/>
                <w:sz w:val="20"/>
                <w:szCs w:val="20"/>
              </w:rPr>
              <w:t>dci-</w:t>
            </w:r>
            <w:proofErr w:type="spellStart"/>
            <w:r w:rsidRPr="00524EFA">
              <w:rPr>
                <w:rFonts w:eastAsia="SimSun"/>
                <w:i/>
                <w:sz w:val="20"/>
                <w:szCs w:val="20"/>
              </w:rPr>
              <w:t>PayloadSizeAI</w:t>
            </w:r>
            <w:proofErr w:type="spellEnd"/>
            <w:r w:rsidRPr="00524EFA">
              <w:rPr>
                <w:rFonts w:eastAsia="SimSun"/>
                <w:sz w:val="20"/>
                <w:szCs w:val="20"/>
              </w:rPr>
              <w:t xml:space="preserve">. The IAB-node is also provided a search space set configuration, by </w:t>
            </w:r>
            <w:proofErr w:type="spellStart"/>
            <w:r w:rsidRPr="00524EFA">
              <w:rPr>
                <w:rFonts w:eastAsia="SimSun"/>
                <w:bCs/>
                <w:i/>
                <w:iCs/>
                <w:sz w:val="20"/>
                <w:szCs w:val="20"/>
                <w:lang w:eastAsia="zh-CN"/>
              </w:rPr>
              <w:t>SearchSpace</w:t>
            </w:r>
            <w:proofErr w:type="spellEnd"/>
            <w:r w:rsidRPr="00524EFA">
              <w:rPr>
                <w:rFonts w:eastAsia="SimSun"/>
                <w:bCs/>
                <w:iCs/>
                <w:sz w:val="20"/>
                <w:szCs w:val="20"/>
                <w:lang w:eastAsia="zh-CN"/>
              </w:rPr>
              <w:t>, for monitoring PDCCH.</w:t>
            </w:r>
          </w:p>
          <w:p w14:paraId="1EC50AC5" w14:textId="77777777" w:rsidR="00F77E64" w:rsidRPr="00524EFA" w:rsidRDefault="00F77E64" w:rsidP="003B2295">
            <w:pPr>
              <w:jc w:val="both"/>
              <w:rPr>
                <w:rFonts w:eastAsia="SimSun"/>
                <w:sz w:val="20"/>
                <w:szCs w:val="20"/>
              </w:rPr>
            </w:pPr>
            <w:r w:rsidRPr="00524EFA">
              <w:rPr>
                <w:rFonts w:eastAsia="SimSun"/>
                <w:sz w:val="20"/>
                <w:szCs w:val="20"/>
              </w:rPr>
              <w:t xml:space="preserve">For each cell of an IAB-DU in a set of cells of the IAB-DU, the IAB-DU can be provided: </w:t>
            </w:r>
          </w:p>
          <w:p w14:paraId="083AF56C" w14:textId="77777777" w:rsidR="00F77E64" w:rsidRPr="00524EFA" w:rsidRDefault="00F77E64" w:rsidP="003B2295">
            <w:pPr>
              <w:ind w:left="568" w:hanging="284"/>
              <w:jc w:val="both"/>
              <w:rPr>
                <w:rFonts w:eastAsia="SimSun"/>
                <w:sz w:val="20"/>
                <w:szCs w:val="20"/>
                <w:lang w:val="x-none"/>
              </w:rPr>
            </w:pPr>
            <w:r w:rsidRPr="00524EFA">
              <w:rPr>
                <w:rFonts w:eastAsia="SimSun"/>
                <w:sz w:val="20"/>
                <w:szCs w:val="20"/>
                <w:lang w:val="x-none"/>
              </w:rPr>
              <w:t>-</w:t>
            </w:r>
            <w:r w:rsidRPr="00524EFA">
              <w:rPr>
                <w:rFonts w:eastAsia="SimSun"/>
                <w:sz w:val="20"/>
                <w:szCs w:val="20"/>
                <w:lang w:val="x-none"/>
              </w:rPr>
              <w:tab/>
              <w:t xml:space="preserve">an identity of the IAB-DU cell by </w:t>
            </w:r>
            <w:proofErr w:type="spellStart"/>
            <w:r w:rsidRPr="00524EFA">
              <w:rPr>
                <w:rFonts w:eastAsia="SimSun"/>
                <w:i/>
                <w:iCs/>
                <w:sz w:val="20"/>
                <w:szCs w:val="20"/>
                <w:lang w:val="x-none"/>
              </w:rPr>
              <w:t>iab</w:t>
            </w:r>
            <w:proofErr w:type="spellEnd"/>
            <w:r w:rsidRPr="00524EFA">
              <w:rPr>
                <w:rFonts w:eastAsia="SimSun"/>
                <w:i/>
                <w:iCs/>
                <w:sz w:val="20"/>
                <w:szCs w:val="20"/>
                <w:lang w:val="x-none"/>
              </w:rPr>
              <w:t>-DU-</w:t>
            </w:r>
            <w:proofErr w:type="spellStart"/>
            <w:r w:rsidRPr="00524EFA">
              <w:rPr>
                <w:rFonts w:eastAsia="SimSun"/>
                <w:i/>
                <w:iCs/>
                <w:sz w:val="20"/>
                <w:szCs w:val="20"/>
                <w:lang w:val="x-none"/>
              </w:rPr>
              <w:t>CellIdentity</w:t>
            </w:r>
            <w:proofErr w:type="spellEnd"/>
          </w:p>
          <w:p w14:paraId="58E5D925" w14:textId="77777777" w:rsidR="00F77E64" w:rsidRPr="00524EFA" w:rsidRDefault="00F77E64" w:rsidP="003B2295">
            <w:pPr>
              <w:ind w:left="568" w:hanging="284"/>
              <w:jc w:val="both"/>
              <w:rPr>
                <w:rFonts w:eastAsia="SimSun"/>
                <w:sz w:val="20"/>
                <w:szCs w:val="20"/>
                <w:lang w:val="en-CA"/>
              </w:rPr>
            </w:pPr>
            <w:r w:rsidRPr="00524EFA">
              <w:rPr>
                <w:rFonts w:eastAsia="SimSun"/>
                <w:sz w:val="20"/>
                <w:szCs w:val="20"/>
                <w:lang w:val="x-none"/>
              </w:rPr>
              <w:t>-</w:t>
            </w:r>
            <w:r w:rsidRPr="00524EFA">
              <w:rPr>
                <w:rFonts w:eastAsia="SimSun"/>
                <w:sz w:val="20"/>
                <w:szCs w:val="20"/>
                <w:lang w:val="x-none"/>
              </w:rPr>
              <w:tab/>
              <w:t xml:space="preserve">a location of an availability indicator (AI) index field in DCI format 2_5 by </w:t>
            </w:r>
            <w:proofErr w:type="spellStart"/>
            <w:r w:rsidRPr="00524EFA">
              <w:rPr>
                <w:rFonts w:eastAsia="SimSun"/>
                <w:i/>
                <w:iCs/>
                <w:sz w:val="20"/>
                <w:szCs w:val="20"/>
                <w:lang w:val="x-none" w:eastAsia="zh-CN"/>
              </w:rPr>
              <w:t>positionInDCI</w:t>
            </w:r>
            <w:proofErr w:type="spellEnd"/>
            <w:r w:rsidRPr="00524EFA">
              <w:rPr>
                <w:rFonts w:eastAsia="SimSun"/>
                <w:i/>
                <w:iCs/>
                <w:sz w:val="20"/>
                <w:szCs w:val="20"/>
                <w:lang w:val="x-none" w:eastAsia="zh-CN"/>
              </w:rPr>
              <w:t>-AI</w:t>
            </w:r>
          </w:p>
          <w:p w14:paraId="04C84107" w14:textId="77777777" w:rsidR="00F77E64" w:rsidRPr="00524EFA" w:rsidRDefault="00F77E64" w:rsidP="003B2295">
            <w:pPr>
              <w:ind w:left="568" w:hanging="284"/>
              <w:jc w:val="both"/>
              <w:rPr>
                <w:rFonts w:eastAsia="SimSun"/>
                <w:sz w:val="20"/>
                <w:szCs w:val="20"/>
                <w:lang w:val="x-none"/>
              </w:rPr>
            </w:pPr>
            <w:r w:rsidRPr="00524EFA">
              <w:rPr>
                <w:rFonts w:eastAsia="SimSun"/>
                <w:sz w:val="20"/>
                <w:szCs w:val="20"/>
                <w:lang w:val="x-none"/>
              </w:rPr>
              <w:t>-</w:t>
            </w:r>
            <w:r w:rsidRPr="00524EFA">
              <w:rPr>
                <w:rFonts w:eastAsia="SimSun"/>
                <w:sz w:val="20"/>
                <w:szCs w:val="20"/>
                <w:lang w:val="x-none"/>
              </w:rPr>
              <w:tab/>
              <w:t xml:space="preserve">a set of availability combinations by </w:t>
            </w:r>
            <w:proofErr w:type="spellStart"/>
            <w:r w:rsidRPr="00524EFA">
              <w:rPr>
                <w:rFonts w:eastAsia="SimSun"/>
                <w:i/>
                <w:iCs/>
                <w:sz w:val="20"/>
                <w:szCs w:val="20"/>
                <w:lang w:val="x-none" w:eastAsia="zh-CN"/>
              </w:rPr>
              <w:t>availabilityCombinations</w:t>
            </w:r>
            <w:proofErr w:type="spellEnd"/>
            <w:r w:rsidRPr="00524EFA">
              <w:rPr>
                <w:rFonts w:eastAsia="SimSun"/>
                <w:sz w:val="20"/>
                <w:szCs w:val="20"/>
                <w:lang w:val="x-none"/>
              </w:rPr>
              <w:t>, where each availability combination in the set of availability combinations includes</w:t>
            </w:r>
          </w:p>
          <w:p w14:paraId="11736231" w14:textId="77777777" w:rsidR="00F77E64" w:rsidRPr="00524EFA" w:rsidRDefault="00F77E64" w:rsidP="003B2295">
            <w:pPr>
              <w:ind w:left="851" w:hanging="284"/>
              <w:jc w:val="both"/>
              <w:rPr>
                <w:rFonts w:eastAsia="SimSun"/>
                <w:sz w:val="20"/>
                <w:szCs w:val="20"/>
                <w:lang w:val="x-none"/>
              </w:rPr>
            </w:pPr>
            <w:r w:rsidRPr="00524EFA">
              <w:rPr>
                <w:rFonts w:eastAsia="SimSun"/>
                <w:sz w:val="20"/>
                <w:szCs w:val="20"/>
                <w:lang w:val="x-none"/>
              </w:rPr>
              <w:t>-</w:t>
            </w:r>
            <w:r w:rsidRPr="00524EFA">
              <w:rPr>
                <w:rFonts w:eastAsia="SimSun"/>
                <w:sz w:val="20"/>
                <w:szCs w:val="20"/>
                <w:lang w:val="x-none"/>
              </w:rPr>
              <w:tab/>
            </w:r>
            <w:proofErr w:type="spellStart"/>
            <w:r w:rsidRPr="00524EFA">
              <w:rPr>
                <w:rFonts w:eastAsia="SimSun"/>
                <w:i/>
                <w:iCs/>
                <w:sz w:val="20"/>
                <w:szCs w:val="20"/>
                <w:lang w:val="x-none" w:eastAsia="zh-CN"/>
              </w:rPr>
              <w:t>resourceAvailability</w:t>
            </w:r>
            <w:proofErr w:type="spellEnd"/>
            <w:r w:rsidRPr="00524EFA">
              <w:rPr>
                <w:rFonts w:eastAsia="SimSun"/>
                <w:sz w:val="20"/>
                <w:szCs w:val="20"/>
                <w:lang w:val="x-none"/>
              </w:rPr>
              <w:t xml:space="preserve"> indicating availability of soft symbols in one or more slots for the IAB-DU cell, </w:t>
            </w:r>
            <w:r w:rsidRPr="00524EFA">
              <w:rPr>
                <w:rFonts w:eastAsia="SimSun"/>
                <w:sz w:val="20"/>
                <w:szCs w:val="20"/>
                <w:lang w:val="en-CA"/>
              </w:rPr>
              <w:t xml:space="preserve">or one or multiple </w:t>
            </w:r>
            <w:proofErr w:type="spellStart"/>
            <w:r w:rsidRPr="00524EFA">
              <w:rPr>
                <w:rFonts w:eastAsia="SimSun"/>
                <w:i/>
                <w:iCs/>
                <w:sz w:val="20"/>
                <w:szCs w:val="20"/>
                <w:lang w:val="en-CA"/>
              </w:rPr>
              <w:t>resourceAvailability</w:t>
            </w:r>
            <w:proofErr w:type="spellEnd"/>
            <w:r w:rsidRPr="00524EFA">
              <w:rPr>
                <w:rFonts w:eastAsia="SimSun"/>
                <w:i/>
                <w:iCs/>
                <w:sz w:val="20"/>
                <w:szCs w:val="20"/>
                <w:lang w:val="en-CA"/>
              </w:rPr>
              <w:t xml:space="preserve"> </w:t>
            </w:r>
            <w:r w:rsidRPr="00524EFA">
              <w:rPr>
                <w:rFonts w:eastAsia="SimSun"/>
                <w:sz w:val="20"/>
                <w:szCs w:val="20"/>
                <w:lang w:val="en-CA"/>
              </w:rPr>
              <w:t xml:space="preserve">with each </w:t>
            </w:r>
            <w:proofErr w:type="spellStart"/>
            <w:r w:rsidRPr="00524EFA">
              <w:rPr>
                <w:rFonts w:eastAsia="SimSun"/>
                <w:i/>
                <w:iCs/>
                <w:sz w:val="20"/>
                <w:szCs w:val="20"/>
                <w:lang w:val="en-CA"/>
              </w:rPr>
              <w:t>resourceAvailablity</w:t>
            </w:r>
            <w:proofErr w:type="spellEnd"/>
            <w:r w:rsidRPr="00524EFA">
              <w:rPr>
                <w:rFonts w:eastAsia="SimSun"/>
                <w:i/>
                <w:iCs/>
                <w:sz w:val="20"/>
                <w:szCs w:val="20"/>
                <w:lang w:val="en-CA"/>
              </w:rPr>
              <w:t xml:space="preserve"> </w:t>
            </w:r>
            <w:r w:rsidRPr="00524EFA">
              <w:rPr>
                <w:rFonts w:eastAsia="SimSun"/>
                <w:sz w:val="20"/>
                <w:szCs w:val="20"/>
                <w:lang w:val="en-CA"/>
              </w:rPr>
              <w:t xml:space="preserve">indicating availability of soft resources in one or more slots for one RB set group where one RB set group includes one or multiple RB sets, </w:t>
            </w:r>
            <w:r w:rsidRPr="00524EFA">
              <w:rPr>
                <w:rFonts w:eastAsia="SimSun"/>
                <w:sz w:val="20"/>
                <w:szCs w:val="20"/>
                <w:lang w:val="x-none"/>
              </w:rPr>
              <w:t xml:space="preserve">and </w:t>
            </w:r>
          </w:p>
          <w:p w14:paraId="128AB191" w14:textId="77777777" w:rsidR="00F77E64" w:rsidRPr="00524EFA" w:rsidRDefault="00F77E64" w:rsidP="003B2295">
            <w:pPr>
              <w:ind w:left="851" w:hanging="284"/>
              <w:jc w:val="both"/>
              <w:rPr>
                <w:rFonts w:eastAsia="SimSun"/>
                <w:sz w:val="20"/>
                <w:szCs w:val="20"/>
                <w:lang w:val="x-none"/>
              </w:rPr>
            </w:pPr>
            <w:r w:rsidRPr="00524EFA">
              <w:rPr>
                <w:rFonts w:eastAsia="SimSun"/>
                <w:sz w:val="20"/>
                <w:szCs w:val="20"/>
                <w:lang w:val="x-none"/>
              </w:rPr>
              <w:t>-</w:t>
            </w:r>
            <w:r w:rsidRPr="00524EFA">
              <w:rPr>
                <w:rFonts w:eastAsia="SimSun"/>
                <w:sz w:val="20"/>
                <w:szCs w:val="20"/>
                <w:lang w:val="x-none"/>
              </w:rPr>
              <w:tab/>
              <w:t xml:space="preserve">a mapping for the soft symbol availability combinations provided by </w:t>
            </w:r>
            <w:r w:rsidRPr="00524EFA">
              <w:rPr>
                <w:rFonts w:eastAsia="SimSun"/>
                <w:i/>
                <w:iCs/>
                <w:sz w:val="20"/>
                <w:szCs w:val="20"/>
              </w:rPr>
              <w:t>resource</w:t>
            </w:r>
            <w:r w:rsidRPr="00524EFA">
              <w:rPr>
                <w:rFonts w:eastAsia="SimSun"/>
                <w:i/>
                <w:iCs/>
                <w:sz w:val="20"/>
                <w:szCs w:val="20"/>
                <w:lang w:val="x-none" w:eastAsia="zh-CN"/>
              </w:rPr>
              <w:t>Availability</w:t>
            </w:r>
            <w:r w:rsidRPr="00524EFA">
              <w:rPr>
                <w:rFonts w:eastAsia="SimSun"/>
                <w:sz w:val="20"/>
                <w:szCs w:val="20"/>
                <w:lang w:val="x-none"/>
              </w:rPr>
              <w:t xml:space="preserve"> to a corresponding AI index field value in DCI format 2_5 provided by </w:t>
            </w:r>
            <w:proofErr w:type="spellStart"/>
            <w:r w:rsidRPr="00524EFA">
              <w:rPr>
                <w:rFonts w:eastAsia="SimSun"/>
                <w:i/>
                <w:iCs/>
                <w:sz w:val="20"/>
                <w:szCs w:val="20"/>
                <w:lang w:val="x-none" w:eastAsia="zh-CN"/>
              </w:rPr>
              <w:t>availabilityCombinationId</w:t>
            </w:r>
            <w:proofErr w:type="spellEnd"/>
          </w:p>
          <w:p w14:paraId="2BFEF2C1" w14:textId="3F71A70D" w:rsidR="00F77E64" w:rsidRPr="00F77E64" w:rsidRDefault="00F77E64" w:rsidP="003B2295">
            <w:pPr>
              <w:jc w:val="both"/>
            </w:pPr>
            <w:r w:rsidRPr="00524EFA">
              <w:rPr>
                <w:sz w:val="20"/>
                <w:szCs w:val="20"/>
              </w:rPr>
              <w:t>- - - - - - - - - - - - - - - - End extract from TS 38.213 - - - - - - - - - - - - - - - -</w:t>
            </w:r>
          </w:p>
        </w:tc>
      </w:tr>
    </w:tbl>
    <w:p w14:paraId="3825B367" w14:textId="4FDF0B2A" w:rsidR="00AA1FE4" w:rsidRDefault="00AA1FE4" w:rsidP="003B2295">
      <w:pPr>
        <w:pStyle w:val="Proposal"/>
        <w:tabs>
          <w:tab w:val="clear" w:pos="1872"/>
        </w:tabs>
        <w:spacing w:before="240"/>
        <w:ind w:left="1304"/>
        <w:rPr>
          <w:lang w:eastAsia="ja-JP"/>
        </w:rPr>
      </w:pPr>
      <w:bookmarkStart w:id="35" w:name="_Toc95771936"/>
      <w:bookmarkStart w:id="36" w:name="_Toc95772009"/>
      <w:bookmarkEnd w:id="35"/>
      <w:r>
        <w:rPr>
          <w:lang w:eastAsia="ja-JP"/>
        </w:rPr>
        <w:lastRenderedPageBreak/>
        <w:t>RAN1 to clarify</w:t>
      </w:r>
      <w:r w:rsidR="00E70649">
        <w:rPr>
          <w:lang w:eastAsia="ja-JP"/>
        </w:rPr>
        <w:t xml:space="preserve"> which of the following alternatives apply to the enhanced </w:t>
      </w:r>
      <w:proofErr w:type="spellStart"/>
      <w:r w:rsidR="00E70649">
        <w:rPr>
          <w:rFonts w:cs="Arial"/>
          <w:szCs w:val="20"/>
        </w:rPr>
        <w:t>AvailabilityCombinationsPerCel</w:t>
      </w:r>
      <w:r w:rsidR="00183307">
        <w:rPr>
          <w:rFonts w:cs="Arial"/>
          <w:szCs w:val="20"/>
        </w:rPr>
        <w:t>l</w:t>
      </w:r>
      <w:proofErr w:type="spellEnd"/>
      <w:r w:rsidR="00E70649">
        <w:rPr>
          <w:rFonts w:cs="Arial"/>
          <w:szCs w:val="20"/>
        </w:rPr>
        <w:t>:</w:t>
      </w:r>
      <w:bookmarkEnd w:id="36"/>
    </w:p>
    <w:p w14:paraId="4C7D0199" w14:textId="42A2706D" w:rsidR="00AA1FE4" w:rsidRDefault="00AA1FE4" w:rsidP="003B2295">
      <w:pPr>
        <w:pStyle w:val="Proposal"/>
        <w:numPr>
          <w:ilvl w:val="0"/>
          <w:numId w:val="0"/>
        </w:numPr>
        <w:spacing w:before="240"/>
        <w:ind w:left="1304"/>
        <w:rPr>
          <w:lang w:eastAsia="ja-JP"/>
        </w:rPr>
      </w:pPr>
      <w:bookmarkStart w:id="37" w:name="_Toc95772010"/>
      <w:r>
        <w:rPr>
          <w:lang w:eastAsia="ja-JP"/>
        </w:rPr>
        <w:t xml:space="preserve">Alt1: an IAB-DU cell can be provided with two separate </w:t>
      </w:r>
      <w:proofErr w:type="spellStart"/>
      <w:r w:rsidRPr="00AA1FE4">
        <w:rPr>
          <w:i/>
          <w:iCs/>
          <w:lang w:eastAsia="ja-JP"/>
        </w:rPr>
        <w:t>availabilityCombinations</w:t>
      </w:r>
      <w:proofErr w:type="spellEnd"/>
      <w:r>
        <w:rPr>
          <w:lang w:eastAsia="ja-JP"/>
        </w:rPr>
        <w:t>, for TDM and FDM resource respectively.</w:t>
      </w:r>
      <w:bookmarkEnd w:id="37"/>
    </w:p>
    <w:p w14:paraId="7AA27DCA" w14:textId="58FD6EBC" w:rsidR="00AA1FE4" w:rsidRDefault="00AA1FE4" w:rsidP="003B2295">
      <w:pPr>
        <w:pStyle w:val="Proposal"/>
        <w:numPr>
          <w:ilvl w:val="0"/>
          <w:numId w:val="0"/>
        </w:numPr>
        <w:spacing w:before="240"/>
        <w:ind w:left="1304"/>
        <w:rPr>
          <w:lang w:eastAsia="ja-JP"/>
        </w:rPr>
      </w:pPr>
      <w:bookmarkStart w:id="38" w:name="_Toc95772011"/>
      <w:r>
        <w:rPr>
          <w:lang w:eastAsia="ja-JP"/>
        </w:rPr>
        <w:t xml:space="preserve">Alt2: an IAB-DU cell is provided with one </w:t>
      </w:r>
      <w:proofErr w:type="spellStart"/>
      <w:r w:rsidRPr="00AA1FE4">
        <w:rPr>
          <w:i/>
          <w:iCs/>
          <w:lang w:eastAsia="ja-JP"/>
        </w:rPr>
        <w:t>availabilityCombinations</w:t>
      </w:r>
      <w:proofErr w:type="spellEnd"/>
      <w:r>
        <w:rPr>
          <w:lang w:eastAsia="ja-JP"/>
        </w:rPr>
        <w:t>, which contains both time-domain and frequency domain availability combinations.</w:t>
      </w:r>
      <w:bookmarkEnd w:id="38"/>
    </w:p>
    <w:p w14:paraId="3ADA9F3A" w14:textId="33A0B273" w:rsidR="00B479F8" w:rsidRDefault="00AA1FE4" w:rsidP="003B2295">
      <w:pPr>
        <w:spacing w:before="240"/>
        <w:jc w:val="both"/>
        <w:rPr>
          <w:rFonts w:cs="Arial"/>
          <w:szCs w:val="20"/>
        </w:rPr>
      </w:pPr>
      <w:r>
        <w:rPr>
          <w:rFonts w:cs="Arial"/>
          <w:szCs w:val="20"/>
        </w:rPr>
        <w:t xml:space="preserve">Additionally, </w:t>
      </w:r>
      <w:r w:rsidR="00436252">
        <w:rPr>
          <w:rFonts w:cs="Arial"/>
          <w:szCs w:val="20"/>
        </w:rPr>
        <w:t xml:space="preserve">it has not been discussed on how to apply DCI format 2_5 to jointly coordinate the </w:t>
      </w:r>
      <w:r w:rsidR="00D5622A">
        <w:rPr>
          <w:rFonts w:cs="Arial"/>
          <w:szCs w:val="20"/>
        </w:rPr>
        <w:t>availability indication for both time-domain and frequency-domain soft resource</w:t>
      </w:r>
      <w:r w:rsidR="00967755">
        <w:rPr>
          <w:rFonts w:cs="Arial"/>
          <w:szCs w:val="20"/>
        </w:rPr>
        <w:t>, especially for multiple IAB-DU cells</w:t>
      </w:r>
      <w:r w:rsidR="00D5622A">
        <w:rPr>
          <w:rFonts w:cs="Arial"/>
          <w:szCs w:val="20"/>
        </w:rPr>
        <w:t xml:space="preserve">. </w:t>
      </w:r>
      <w:bookmarkStart w:id="39" w:name="_Toc71634975"/>
      <w:bookmarkStart w:id="40" w:name="_Toc71635317"/>
      <w:bookmarkStart w:id="41" w:name="_Toc71635383"/>
      <w:bookmarkStart w:id="42" w:name="_Toc71635510"/>
      <w:bookmarkStart w:id="43" w:name="_Toc71635705"/>
      <w:bookmarkStart w:id="44" w:name="_Toc71635786"/>
      <w:bookmarkStart w:id="45" w:name="_Toc71635818"/>
      <w:bookmarkStart w:id="46" w:name="_Toc71636111"/>
      <w:bookmarkStart w:id="47" w:name="_Toc71636172"/>
      <w:bookmarkStart w:id="48" w:name="_Toc71636608"/>
      <w:bookmarkStart w:id="49" w:name="_Toc71636682"/>
      <w:bookmarkStart w:id="50" w:name="_Toc71636852"/>
      <w:bookmarkEnd w:id="39"/>
      <w:bookmarkEnd w:id="40"/>
      <w:bookmarkEnd w:id="41"/>
      <w:bookmarkEnd w:id="42"/>
      <w:bookmarkEnd w:id="43"/>
      <w:bookmarkEnd w:id="44"/>
      <w:bookmarkEnd w:id="45"/>
      <w:bookmarkEnd w:id="46"/>
      <w:bookmarkEnd w:id="47"/>
      <w:bookmarkEnd w:id="48"/>
      <w:bookmarkEnd w:id="49"/>
      <w:bookmarkEnd w:id="50"/>
      <w:r w:rsidR="00D5622A">
        <w:rPr>
          <w:rFonts w:cs="Arial"/>
          <w:szCs w:val="20"/>
        </w:rPr>
        <w:t xml:space="preserve">The agreement from RAN1#106bis-e </w:t>
      </w:r>
      <w:r w:rsidR="00524EFA">
        <w:rPr>
          <w:rFonts w:cs="Arial"/>
          <w:szCs w:val="20"/>
        </w:rPr>
        <w:t xml:space="preserve">only </w:t>
      </w:r>
      <w:r w:rsidR="00D5622A">
        <w:rPr>
          <w:rFonts w:cs="Arial"/>
          <w:szCs w:val="20"/>
        </w:rPr>
        <w:t>states</w:t>
      </w:r>
      <w:r w:rsidR="00524EFA">
        <w:rPr>
          <w:rFonts w:cs="Arial"/>
          <w:szCs w:val="20"/>
        </w:rPr>
        <w:t xml:space="preserve"> </w:t>
      </w:r>
      <w:r w:rsidR="00D5622A">
        <w:rPr>
          <w:rFonts w:cs="Arial"/>
          <w:szCs w:val="20"/>
        </w:rPr>
        <w:t>that a single DCI format 2_5 can be received indicating availability for the soft resources of the respective RB sets corresponding to a given time resource of the child IAB-DU cell.</w:t>
      </w:r>
      <w:r w:rsidR="00967755">
        <w:rPr>
          <w:rFonts w:cs="Arial"/>
          <w:szCs w:val="20"/>
        </w:rPr>
        <w:t xml:space="preserve"> It </w:t>
      </w:r>
      <w:r w:rsidR="00E70649">
        <w:rPr>
          <w:rFonts w:cs="Arial"/>
          <w:szCs w:val="20"/>
        </w:rPr>
        <w:t>is not clear</w:t>
      </w:r>
      <w:r w:rsidR="00967755">
        <w:rPr>
          <w:rFonts w:cs="Arial"/>
          <w:szCs w:val="20"/>
        </w:rPr>
        <w:t xml:space="preserve"> </w:t>
      </w:r>
      <w:proofErr w:type="gramStart"/>
      <w:r w:rsidR="00967755">
        <w:rPr>
          <w:rFonts w:cs="Arial"/>
          <w:szCs w:val="20"/>
        </w:rPr>
        <w:t>whether or not</w:t>
      </w:r>
      <w:proofErr w:type="gramEnd"/>
      <w:r w:rsidR="00967755">
        <w:rPr>
          <w:rFonts w:cs="Arial"/>
          <w:szCs w:val="20"/>
        </w:rPr>
        <w:t xml:space="preserve"> </w:t>
      </w:r>
      <w:r w:rsidR="00F8440A">
        <w:rPr>
          <w:rFonts w:cs="Arial"/>
          <w:szCs w:val="20"/>
        </w:rPr>
        <w:t xml:space="preserve">the AI index fields in </w:t>
      </w:r>
      <w:r w:rsidR="00967755">
        <w:rPr>
          <w:rFonts w:cs="Arial"/>
          <w:szCs w:val="20"/>
        </w:rPr>
        <w:t xml:space="preserve">a single DCI format 2_5 </w:t>
      </w:r>
      <w:r w:rsidR="00F8440A">
        <w:rPr>
          <w:rFonts w:cs="Arial"/>
          <w:szCs w:val="20"/>
        </w:rPr>
        <w:t xml:space="preserve">can be mapped to both time-domain and frequency-domain </w:t>
      </w:r>
      <w:proofErr w:type="spellStart"/>
      <w:r w:rsidR="00F8440A">
        <w:rPr>
          <w:rFonts w:cs="Arial"/>
          <w:szCs w:val="20"/>
        </w:rPr>
        <w:t>resourceAvailability</w:t>
      </w:r>
      <w:proofErr w:type="spellEnd"/>
      <w:r w:rsidR="00F8440A">
        <w:rPr>
          <w:rFonts w:cs="Arial"/>
          <w:szCs w:val="20"/>
        </w:rPr>
        <w:t xml:space="preserve"> according to the multiplexing mode of the IAB-DU cells.</w:t>
      </w:r>
      <w:r w:rsidR="00967755">
        <w:rPr>
          <w:rFonts w:cs="Arial"/>
          <w:szCs w:val="20"/>
        </w:rPr>
        <w:t xml:space="preserve">  </w:t>
      </w:r>
    </w:p>
    <w:p w14:paraId="21C044F6" w14:textId="7B3A27C2" w:rsidR="001412DA" w:rsidRPr="00F8440A" w:rsidRDefault="00183307" w:rsidP="003B2295">
      <w:pPr>
        <w:pStyle w:val="Proposal"/>
        <w:tabs>
          <w:tab w:val="clear" w:pos="1872"/>
        </w:tabs>
        <w:ind w:left="1304"/>
        <w:rPr>
          <w:lang w:eastAsia="ja-JP"/>
        </w:rPr>
      </w:pPr>
      <w:bookmarkStart w:id="51" w:name="_Toc95772012"/>
      <w:r>
        <w:rPr>
          <w:lang w:eastAsia="ja-JP"/>
        </w:rPr>
        <w:t>RAN1 to clarify</w:t>
      </w:r>
      <w:r w:rsidR="00967755">
        <w:rPr>
          <w:lang w:eastAsia="ja-JP"/>
        </w:rPr>
        <w:t xml:space="preserve"> </w:t>
      </w:r>
      <w:proofErr w:type="gramStart"/>
      <w:r w:rsidR="00967755">
        <w:rPr>
          <w:lang w:eastAsia="ja-JP"/>
        </w:rPr>
        <w:t>whether or not</w:t>
      </w:r>
      <w:proofErr w:type="gramEnd"/>
      <w:r w:rsidR="00967755">
        <w:rPr>
          <w:lang w:eastAsia="ja-JP"/>
        </w:rPr>
        <w:t xml:space="preserve"> </w:t>
      </w:r>
      <w:r w:rsidR="00F8440A">
        <w:rPr>
          <w:rFonts w:cs="Arial"/>
          <w:szCs w:val="20"/>
        </w:rPr>
        <w:t xml:space="preserve">the AI index fields in a single DCI format 2_5 can be mapped to both time-domain and frequency-domain </w:t>
      </w:r>
      <w:proofErr w:type="spellStart"/>
      <w:r w:rsidR="00F8440A">
        <w:rPr>
          <w:rFonts w:cs="Arial"/>
          <w:szCs w:val="20"/>
        </w:rPr>
        <w:t>resourceAvailability</w:t>
      </w:r>
      <w:proofErr w:type="spellEnd"/>
      <w:r w:rsidR="00F8440A">
        <w:rPr>
          <w:rFonts w:cs="Arial"/>
          <w:szCs w:val="20"/>
        </w:rPr>
        <w:t xml:space="preserve"> according to the multiplexing mode of the IAB-DU cells.</w:t>
      </w:r>
      <w:bookmarkEnd w:id="51"/>
    </w:p>
    <w:p w14:paraId="73189895" w14:textId="393ED769" w:rsidR="008F1F8C" w:rsidRPr="00087AB3" w:rsidRDefault="008F1F8C" w:rsidP="003B2295">
      <w:pPr>
        <w:pStyle w:val="Heading3"/>
        <w:jc w:val="both"/>
        <w:rPr>
          <w:lang w:val="en-US"/>
        </w:rPr>
      </w:pPr>
      <w:r w:rsidRPr="00087AB3">
        <w:rPr>
          <w:lang w:val="en-US"/>
        </w:rPr>
        <w:t>Additional Enhancement on DCI format 2_5</w:t>
      </w:r>
    </w:p>
    <w:p w14:paraId="11A28EA8" w14:textId="30D7B1FF" w:rsidR="008F1F8C" w:rsidRPr="00087AB3" w:rsidRDefault="008F1F8C" w:rsidP="003B2295">
      <w:pPr>
        <w:jc w:val="both"/>
        <w:rPr>
          <w:rFonts w:cs="Arial"/>
          <w:szCs w:val="20"/>
        </w:rPr>
      </w:pPr>
      <w:r w:rsidRPr="00087AB3">
        <w:rPr>
          <w:rFonts w:cs="Arial"/>
          <w:szCs w:val="20"/>
        </w:rPr>
        <w:t xml:space="preserve">In this section we address two additional enhancements on DCI format 2_5. Our previous contribution </w:t>
      </w:r>
      <w:r w:rsidRPr="00087AB3">
        <w:rPr>
          <w:rFonts w:cs="Arial"/>
          <w:szCs w:val="20"/>
        </w:rPr>
        <w:fldChar w:fldCharType="begin"/>
      </w:r>
      <w:r w:rsidRPr="00087AB3">
        <w:rPr>
          <w:rFonts w:cs="Arial"/>
          <w:szCs w:val="20"/>
        </w:rPr>
        <w:instrText xml:space="preserve"> REF _Ref74242597 \r \h  \* MERGEFORMAT </w:instrText>
      </w:r>
      <w:r w:rsidRPr="00087AB3">
        <w:rPr>
          <w:rFonts w:cs="Arial"/>
          <w:szCs w:val="20"/>
        </w:rPr>
      </w:r>
      <w:r w:rsidRPr="00087AB3">
        <w:rPr>
          <w:rFonts w:cs="Arial"/>
          <w:szCs w:val="20"/>
        </w:rPr>
        <w:fldChar w:fldCharType="separate"/>
      </w:r>
      <w:r w:rsidR="003B2295">
        <w:rPr>
          <w:rFonts w:cs="Arial"/>
          <w:szCs w:val="20"/>
        </w:rPr>
        <w:t>[10]</w:t>
      </w:r>
      <w:r w:rsidRPr="00087AB3">
        <w:rPr>
          <w:rFonts w:cs="Arial"/>
          <w:szCs w:val="20"/>
        </w:rPr>
        <w:fldChar w:fldCharType="end"/>
      </w:r>
      <w:r w:rsidRPr="00087AB3">
        <w:rPr>
          <w:rFonts w:cs="Arial"/>
          <w:szCs w:val="20"/>
        </w:rPr>
        <w:t xml:space="preserve"> has a discussion on the limitation of the DCI Format 2_5 payload size which does not allow to configure the maximum number (512) of IAB-DU cells. </w:t>
      </w:r>
      <w:r w:rsidR="00A9667A" w:rsidRPr="00087AB3">
        <w:rPr>
          <w:rFonts w:cs="Arial"/>
          <w:szCs w:val="20"/>
        </w:rPr>
        <w:t xml:space="preserve">We do not see a reason why the number of </w:t>
      </w:r>
      <w:r w:rsidR="00714BDC" w:rsidRPr="00087AB3">
        <w:rPr>
          <w:rFonts w:cs="Arial"/>
          <w:szCs w:val="20"/>
        </w:rPr>
        <w:t xml:space="preserve">manageable </w:t>
      </w:r>
      <w:r w:rsidR="00A9667A" w:rsidRPr="00087AB3">
        <w:rPr>
          <w:rFonts w:cs="Arial"/>
          <w:szCs w:val="20"/>
        </w:rPr>
        <w:t xml:space="preserve">IAB-DU cell should be </w:t>
      </w:r>
      <w:r w:rsidR="00714BDC" w:rsidRPr="00087AB3">
        <w:rPr>
          <w:rFonts w:cs="Arial"/>
          <w:szCs w:val="20"/>
        </w:rPr>
        <w:t>restricted compared to gNB-DU cells.</w:t>
      </w:r>
    </w:p>
    <w:p w14:paraId="160991C8" w14:textId="335E4DAC" w:rsidR="00235219" w:rsidRPr="00235219" w:rsidRDefault="008F1F8C" w:rsidP="003B2295">
      <w:pPr>
        <w:jc w:val="both"/>
        <w:rPr>
          <w:rFonts w:cs="Arial"/>
          <w:szCs w:val="20"/>
        </w:rPr>
      </w:pPr>
      <w:r w:rsidRPr="00087AB3">
        <w:rPr>
          <w:rFonts w:cs="Arial"/>
          <w:szCs w:val="20"/>
        </w:rPr>
        <w:t xml:space="preserve">The current maximum payload size for DCI format 2_5 is specified as 128 bits, see TS 38.212 </w:t>
      </w:r>
      <w:r w:rsidRPr="00087AB3">
        <w:rPr>
          <w:rFonts w:cs="Arial"/>
          <w:szCs w:val="20"/>
        </w:rPr>
        <w:fldChar w:fldCharType="begin"/>
      </w:r>
      <w:r w:rsidRPr="00087AB3">
        <w:rPr>
          <w:rFonts w:cs="Arial"/>
          <w:szCs w:val="20"/>
        </w:rPr>
        <w:instrText xml:space="preserve"> REF _Ref71663095 \r \h  \* MERGEFORMAT </w:instrText>
      </w:r>
      <w:r w:rsidRPr="00087AB3">
        <w:rPr>
          <w:rFonts w:cs="Arial"/>
          <w:szCs w:val="20"/>
        </w:rPr>
      </w:r>
      <w:r w:rsidRPr="00087AB3">
        <w:rPr>
          <w:rFonts w:cs="Arial"/>
          <w:szCs w:val="20"/>
        </w:rPr>
        <w:fldChar w:fldCharType="separate"/>
      </w:r>
      <w:r w:rsidR="003B2295">
        <w:rPr>
          <w:rFonts w:cs="Arial"/>
          <w:szCs w:val="20"/>
        </w:rPr>
        <w:t>[11]</w:t>
      </w:r>
      <w:r w:rsidRPr="00087AB3">
        <w:rPr>
          <w:rFonts w:cs="Arial"/>
          <w:szCs w:val="20"/>
        </w:rPr>
        <w:fldChar w:fldCharType="end"/>
      </w:r>
      <w:r w:rsidRPr="00087AB3">
        <w:rPr>
          <w:rFonts w:cs="Arial"/>
          <w:szCs w:val="20"/>
        </w:rPr>
        <w:t xml:space="preserve">. At the same time, the maximum size for any DCI is 140 bits due to encoding rules for DCIs; the DCI payload bits are attached </w:t>
      </w:r>
      <w:r w:rsidR="00E63DAF" w:rsidRPr="00087AB3">
        <w:rPr>
          <w:rFonts w:cs="Arial"/>
          <w:szCs w:val="20"/>
        </w:rPr>
        <w:t xml:space="preserve">to </w:t>
      </w:r>
      <w:r w:rsidRPr="00087AB3">
        <w:rPr>
          <w:rFonts w:cs="Arial"/>
          <w:szCs w:val="20"/>
        </w:rPr>
        <w:t xml:space="preserve">a 24 bits CRC and together they must fit an interleaving pattern of length 164. On the other side, assuming a maximum extension of </w:t>
      </w:r>
      <w:proofErr w:type="spellStart"/>
      <w:r w:rsidRPr="00087AB3">
        <w:rPr>
          <w:rFonts w:cs="Arial"/>
          <w:i/>
          <w:szCs w:val="20"/>
        </w:rPr>
        <w:t>availabilityCombinations</w:t>
      </w:r>
      <w:proofErr w:type="spellEnd"/>
      <w:r w:rsidRPr="00087AB3">
        <w:rPr>
          <w:rFonts w:cs="Arial"/>
          <w:szCs w:val="20"/>
        </w:rPr>
        <w:t xml:space="preserve"> of 512 </w:t>
      </w:r>
      <w:proofErr w:type="spellStart"/>
      <w:r w:rsidRPr="00087AB3">
        <w:rPr>
          <w:rFonts w:cs="Arial"/>
          <w:i/>
          <w:szCs w:val="20"/>
        </w:rPr>
        <w:t>resourceAvailability</w:t>
      </w:r>
      <w:proofErr w:type="spellEnd"/>
      <w:r w:rsidRPr="00087AB3">
        <w:rPr>
          <w:rFonts w:cs="Arial"/>
          <w:szCs w:val="20"/>
        </w:rPr>
        <w:t xml:space="preserve">(s) (requiring encoding of AI-indices in DCI format 2_5 by 9 bits) and considering that the maximum number of IAB-DU cells can be 512, 9*512=4608 bits would be required. Currently, the number of availability indications can be limited to 14 (=128/9) IAB-DU cells (of maximum 512 IAB-DU cells). Therefore, it should be considered, at least in Rel-17, to enhance DCI format 2_5 in order to provide availability information for </w:t>
      </w:r>
      <w:proofErr w:type="gramStart"/>
      <w:r w:rsidRPr="00087AB3">
        <w:rPr>
          <w:rFonts w:cs="Arial"/>
          <w:szCs w:val="20"/>
        </w:rPr>
        <w:t>Soft</w:t>
      </w:r>
      <w:proofErr w:type="gramEnd"/>
      <w:r w:rsidRPr="00087AB3">
        <w:rPr>
          <w:rFonts w:cs="Arial"/>
          <w:szCs w:val="20"/>
        </w:rPr>
        <w:t xml:space="preserve"> resources for an increased number of IAB-DU cells without the need to reconfiguring higher layer parameter </w:t>
      </w:r>
      <w:proofErr w:type="spellStart"/>
      <w:r w:rsidRPr="00087AB3">
        <w:rPr>
          <w:rFonts w:cs="Arial"/>
          <w:i/>
          <w:szCs w:val="20"/>
        </w:rPr>
        <w:t>AvailabilityIndicator</w:t>
      </w:r>
      <w:proofErr w:type="spellEnd"/>
      <w:r w:rsidR="008A18A6" w:rsidRPr="00087AB3">
        <w:rPr>
          <w:rFonts w:cs="Arial"/>
          <w:iCs/>
          <w:szCs w:val="20"/>
        </w:rPr>
        <w:t xml:space="preserve">, which is a slow process and </w:t>
      </w:r>
      <w:r w:rsidR="00032FD7" w:rsidRPr="00087AB3">
        <w:rPr>
          <w:rFonts w:cs="Arial"/>
          <w:iCs/>
          <w:szCs w:val="20"/>
        </w:rPr>
        <w:t>does rather not substitute</w:t>
      </w:r>
      <w:r w:rsidR="008A18A6" w:rsidRPr="00087AB3">
        <w:rPr>
          <w:rFonts w:cs="Arial"/>
          <w:iCs/>
          <w:szCs w:val="20"/>
        </w:rPr>
        <w:t xml:space="preserve"> </w:t>
      </w:r>
      <w:r w:rsidR="00955D96" w:rsidRPr="00087AB3">
        <w:rPr>
          <w:rFonts w:cs="Arial"/>
          <w:iCs/>
          <w:szCs w:val="20"/>
        </w:rPr>
        <w:t>a proper</w:t>
      </w:r>
      <w:r w:rsidR="008A18A6" w:rsidRPr="00087AB3">
        <w:rPr>
          <w:rFonts w:cs="Arial"/>
          <w:iCs/>
          <w:szCs w:val="20"/>
        </w:rPr>
        <w:t xml:space="preserve"> dynamic signaling</w:t>
      </w:r>
      <w:r w:rsidRPr="00087AB3">
        <w:rPr>
          <w:rFonts w:cs="Arial"/>
          <w:szCs w:val="20"/>
        </w:rPr>
        <w:t xml:space="preserve">. Simply increasing the payload size from 128 to 140 bits can be seen as a first step but would not be sufficient to refer to more than 15 DU cells (=140/9) in certain configurations of </w:t>
      </w:r>
      <w:proofErr w:type="spellStart"/>
      <w:r w:rsidRPr="00087AB3">
        <w:rPr>
          <w:rFonts w:cs="Arial"/>
          <w:i/>
          <w:szCs w:val="20"/>
        </w:rPr>
        <w:t>availabilityCombinations</w:t>
      </w:r>
      <w:proofErr w:type="spellEnd"/>
      <w:r w:rsidRPr="00087AB3">
        <w:rPr>
          <w:rFonts w:cs="Arial"/>
          <w:szCs w:val="20"/>
        </w:rPr>
        <w:t xml:space="preserve">. It is certainly not sufficient to cover the flexibility in size of </w:t>
      </w:r>
      <w:proofErr w:type="spellStart"/>
      <w:r w:rsidRPr="00087AB3">
        <w:rPr>
          <w:rFonts w:cs="Arial"/>
          <w:i/>
          <w:szCs w:val="20"/>
        </w:rPr>
        <w:t>availabilityCombinations</w:t>
      </w:r>
      <w:proofErr w:type="spellEnd"/>
      <w:r w:rsidRPr="00087AB3">
        <w:rPr>
          <w:rFonts w:cs="Arial"/>
          <w:szCs w:val="20"/>
        </w:rPr>
        <w:t xml:space="preserve"> and possible number of DU cell.</w:t>
      </w:r>
      <w:r w:rsidR="00F541D7">
        <w:rPr>
          <w:rFonts w:cs="Arial"/>
          <w:szCs w:val="20"/>
        </w:rPr>
        <w:t xml:space="preserve"> </w:t>
      </w:r>
    </w:p>
    <w:p w14:paraId="4DFF01BE" w14:textId="3B1608BF" w:rsidR="00A73410" w:rsidRPr="00F541D7" w:rsidRDefault="008A18A6" w:rsidP="003B2295">
      <w:pPr>
        <w:pStyle w:val="Observation"/>
        <w:rPr>
          <w:rFonts w:cs="Arial"/>
          <w:szCs w:val="20"/>
        </w:rPr>
      </w:pPr>
      <w:bookmarkStart w:id="52" w:name="_Toc95771996"/>
      <w:r w:rsidRPr="00087AB3">
        <w:t>In the current DCI format 2_5, the number of availability indication can be limited to 14 IAB-DU cells of maximum 512 IAB-DU cells.</w:t>
      </w:r>
      <w:bookmarkStart w:id="53" w:name="_Toc84008842"/>
      <w:bookmarkEnd w:id="53"/>
      <w:bookmarkEnd w:id="52"/>
    </w:p>
    <w:p w14:paraId="462ED30D" w14:textId="1D70F00A" w:rsidR="00833552" w:rsidRDefault="00833552" w:rsidP="003B2295">
      <w:pPr>
        <w:jc w:val="both"/>
      </w:pPr>
      <w:r>
        <w:t>One way to overcome the abovementioned problem is to add a group index in an enhanced DCI 2_</w:t>
      </w:r>
      <w:r w:rsidR="00F62E9C">
        <w:t>5 where one group index is associated to a set of IAB-DU cells</w:t>
      </w:r>
      <w:r>
        <w:t xml:space="preserve">. As illustrated in </w:t>
      </w:r>
      <w:r>
        <w:fldChar w:fldCharType="begin"/>
      </w:r>
      <w:r>
        <w:instrText xml:space="preserve"> REF _Ref86053631 \h </w:instrText>
      </w:r>
      <w:r w:rsidR="009C54D2">
        <w:instrText xml:space="preserve"> \* MERGEFORMAT </w:instrText>
      </w:r>
      <w:r>
        <w:fldChar w:fldCharType="separate"/>
      </w:r>
      <w:r w:rsidR="003B2295">
        <w:t xml:space="preserve">Figure </w:t>
      </w:r>
      <w:r w:rsidR="003B2295">
        <w:rPr>
          <w:noProof/>
        </w:rPr>
        <w:t>2</w:t>
      </w:r>
      <w:r>
        <w:fldChar w:fldCharType="end"/>
      </w:r>
      <w:r>
        <w:t>, the number of the group indexing bits, irrespective of any maximum DCI format 2_5 size, should fulfil the following requirement:</w:t>
      </w:r>
    </w:p>
    <w:p w14:paraId="58438758" w14:textId="1F6C86F1" w:rsidR="00F541D7" w:rsidRPr="00833552" w:rsidRDefault="00AC0AEA" w:rsidP="003B2295">
      <w:pPr>
        <w:jc w:val="both"/>
      </w:pPr>
      <w:r>
        <w:rPr>
          <w:rFonts w:eastAsiaTheme="minorEastAsia"/>
        </w:rPr>
        <w:t xml:space="preserve"># </w:t>
      </w:r>
      <w:proofErr w:type="gramStart"/>
      <w:r>
        <w:rPr>
          <w:rFonts w:eastAsiaTheme="minorEastAsia"/>
        </w:rPr>
        <w:t>of</w:t>
      </w:r>
      <w:proofErr w:type="gramEnd"/>
      <w:r>
        <w:rPr>
          <w:rFonts w:eastAsiaTheme="minorEastAsia"/>
        </w:rPr>
        <w:t xml:space="preserve"> bits </w:t>
      </w:r>
      <w:r w:rsidR="00833552">
        <w:t xml:space="preserve">for AI-indices + # of group indexing bits </w:t>
      </w:r>
      <m:oMath>
        <m:r>
          <w:rPr>
            <w:rFonts w:ascii="Cambria Math" w:hAnsi="Cambria Math"/>
          </w:rPr>
          <m:t>≤</m:t>
        </m:r>
      </m:oMath>
      <w:r w:rsidR="00833552" w:rsidRPr="00833552">
        <w:t xml:space="preserve"> </w:t>
      </w:r>
      <w:r w:rsidR="00833552">
        <w:t>140 bits</w:t>
      </w:r>
    </w:p>
    <w:p w14:paraId="7385C099" w14:textId="106174C3" w:rsidR="00F541D7" w:rsidRDefault="00833552" w:rsidP="003B2295">
      <w:pPr>
        <w:jc w:val="both"/>
      </w:pPr>
      <w:r>
        <w:t>The introduction of group indexing of AI-indices allows to create a multitude of groups of AI-indices. Each AI-index in a DCI format 2_5 should be uniquely associated to an IAB-DU cell through a specific combination of position in a DCI 2_5</w:t>
      </w:r>
      <w:r w:rsidR="00F62E9C">
        <w:t xml:space="preserve"> and the group index</w:t>
      </w:r>
      <w:r w:rsidR="005C2E56">
        <w:t>.</w:t>
      </w:r>
      <w:r w:rsidR="00461FDA">
        <w:t xml:space="preserve"> For example, by adding 6 indexing bits, the number of IAB-DU cells that can be configured using all index groups can be extended to 896</w:t>
      </w:r>
      <w:r w:rsidR="00123AE9">
        <w:t xml:space="preserve"> (</w:t>
      </w:r>
      <w:r w:rsidR="00AC0AEA">
        <w:t>=</w:t>
      </w:r>
      <w:r w:rsidR="00123AE9">
        <w:t>14</w:t>
      </w:r>
      <w:r w:rsidR="00AC0AEA">
        <w:t xml:space="preserve"> cell per group times </w:t>
      </w:r>
      <w:r w:rsidR="00123AE9">
        <w:t>2^6</w:t>
      </w:r>
      <w:r w:rsidR="00AC0AEA">
        <w:t xml:space="preserve"> groups</w:t>
      </w:r>
      <w:r w:rsidR="00123AE9">
        <w:t>)</w:t>
      </w:r>
      <w:r w:rsidR="00461FDA">
        <w:t xml:space="preserve">. </w:t>
      </w:r>
      <w:r w:rsidR="00AC0AEA">
        <w:t>We would like to note that this fix is backwards compatible to Rel-16, since a Rel-16 MT would not read the index bits.</w:t>
      </w:r>
    </w:p>
    <w:p w14:paraId="12DAE872" w14:textId="3468B36A" w:rsidR="00F541D7" w:rsidRDefault="006E262D" w:rsidP="009C54D2">
      <w:pPr>
        <w:keepNext/>
        <w:jc w:val="center"/>
      </w:pPr>
      <w:r>
        <w:rPr>
          <w:noProof/>
        </w:rPr>
        <w:lastRenderedPageBreak/>
        <w:drawing>
          <wp:inline distT="0" distB="0" distL="0" distR="0" wp14:anchorId="2FB7AA9F" wp14:editId="5D419674">
            <wp:extent cx="5524500" cy="27820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530738" cy="2785164"/>
                    </a:xfrm>
                    <a:prstGeom prst="rect">
                      <a:avLst/>
                    </a:prstGeom>
                  </pic:spPr>
                </pic:pic>
              </a:graphicData>
            </a:graphic>
          </wp:inline>
        </w:drawing>
      </w:r>
    </w:p>
    <w:p w14:paraId="1FCA99DA" w14:textId="5EB5D7D3" w:rsidR="00F541D7" w:rsidRPr="00F541D7" w:rsidRDefault="00F541D7" w:rsidP="003B2295">
      <w:pPr>
        <w:pStyle w:val="Caption"/>
        <w:jc w:val="center"/>
      </w:pPr>
      <w:bookmarkStart w:id="54" w:name="_Ref86053631"/>
      <w:r>
        <w:t xml:space="preserve">Figure </w:t>
      </w:r>
      <w:r>
        <w:fldChar w:fldCharType="begin"/>
      </w:r>
      <w:r>
        <w:instrText xml:space="preserve"> SEQ Figure \* ARABIC </w:instrText>
      </w:r>
      <w:r>
        <w:fldChar w:fldCharType="separate"/>
      </w:r>
      <w:r w:rsidR="003B2295">
        <w:rPr>
          <w:noProof/>
        </w:rPr>
        <w:t>2</w:t>
      </w:r>
      <w:r>
        <w:fldChar w:fldCharType="end"/>
      </w:r>
      <w:bookmarkEnd w:id="54"/>
      <w:r>
        <w:t>: Enhanced DCI format 2_5 by adding indexing bits.</w:t>
      </w:r>
    </w:p>
    <w:p w14:paraId="1A95AC4F" w14:textId="77777777" w:rsidR="00671759" w:rsidRDefault="008F1F8C" w:rsidP="003B2295">
      <w:pPr>
        <w:pStyle w:val="Proposal"/>
        <w:tabs>
          <w:tab w:val="clear" w:pos="1872"/>
        </w:tabs>
        <w:spacing w:before="240"/>
        <w:ind w:left="1304"/>
        <w:rPr>
          <w:lang w:eastAsia="ja-JP"/>
        </w:rPr>
      </w:pPr>
      <w:bookmarkStart w:id="55" w:name="_Toc95772013"/>
      <w:r w:rsidRPr="00087AB3">
        <w:rPr>
          <w:lang w:eastAsia="ja-JP"/>
        </w:rPr>
        <w:t xml:space="preserve">Rel-17 enhancement on DCI format 2_5 should at least consider extension of the maximum payload size of DCI format 2_5 to increase the number of IAB-DU cells that can be provided with availability information for </w:t>
      </w:r>
      <w:proofErr w:type="gramStart"/>
      <w:r w:rsidRPr="00087AB3">
        <w:rPr>
          <w:lang w:eastAsia="ja-JP"/>
        </w:rPr>
        <w:t>Soft</w:t>
      </w:r>
      <w:proofErr w:type="gramEnd"/>
      <w:r w:rsidRPr="00087AB3">
        <w:rPr>
          <w:lang w:eastAsia="ja-JP"/>
        </w:rPr>
        <w:t xml:space="preserve"> resources.</w:t>
      </w:r>
      <w:bookmarkEnd w:id="55"/>
    </w:p>
    <w:p w14:paraId="67070EF6" w14:textId="7790BCBC" w:rsidR="008F1F8C" w:rsidRPr="00087AB3" w:rsidRDefault="00671759" w:rsidP="003B2295">
      <w:pPr>
        <w:pStyle w:val="Proposal"/>
        <w:tabs>
          <w:tab w:val="clear" w:pos="1872"/>
        </w:tabs>
        <w:ind w:left="1304"/>
        <w:rPr>
          <w:lang w:eastAsia="ja-JP"/>
        </w:rPr>
      </w:pPr>
      <w:bookmarkStart w:id="56" w:name="_Toc95772014"/>
      <w:r>
        <w:rPr>
          <w:lang w:eastAsia="ja-JP"/>
        </w:rPr>
        <w:t xml:space="preserve">Introducing group indexing bits in DCI format 2_5 to </w:t>
      </w:r>
      <w:r w:rsidR="008F1F8C" w:rsidRPr="00087AB3">
        <w:rPr>
          <w:lang w:eastAsia="ja-JP"/>
        </w:rPr>
        <w:t>further increase the number of IAB-DU cells that can be indicated AI.</w:t>
      </w:r>
      <w:bookmarkEnd w:id="56"/>
    </w:p>
    <w:p w14:paraId="14D5EB55" w14:textId="2E2EE5E9" w:rsidR="008F1F8C" w:rsidRPr="00087AB3" w:rsidRDefault="008F1F8C" w:rsidP="003B2295">
      <w:pPr>
        <w:pStyle w:val="TF"/>
        <w:jc w:val="both"/>
        <w:rPr>
          <w:rFonts w:eastAsiaTheme="minorEastAsia" w:cs="Arial"/>
          <w:b w:val="0"/>
          <w:spacing w:val="2"/>
          <w:szCs w:val="20"/>
          <w:lang w:val="en-US"/>
        </w:rPr>
      </w:pPr>
      <w:r w:rsidRPr="00087AB3">
        <w:rPr>
          <w:rFonts w:cs="Arial"/>
          <w:b w:val="0"/>
          <w:szCs w:val="20"/>
          <w:lang w:val="en-US"/>
        </w:rPr>
        <w:t xml:space="preserve">Our </w:t>
      </w:r>
      <w:r w:rsidR="005B53AF" w:rsidRPr="00087AB3">
        <w:rPr>
          <w:rFonts w:cs="Arial"/>
          <w:b w:val="0"/>
          <w:szCs w:val="20"/>
          <w:lang w:val="en-US"/>
        </w:rPr>
        <w:t>earlier</w:t>
      </w:r>
      <w:r w:rsidRPr="00087AB3">
        <w:rPr>
          <w:rFonts w:cs="Arial"/>
          <w:b w:val="0"/>
          <w:szCs w:val="20"/>
          <w:lang w:val="en-US"/>
        </w:rPr>
        <w:t xml:space="preserve"> contribution </w:t>
      </w:r>
      <w:r w:rsidR="006A6226" w:rsidRPr="00087AB3">
        <w:rPr>
          <w:rFonts w:cs="Arial"/>
          <w:b w:val="0"/>
          <w:szCs w:val="20"/>
          <w:lang w:val="en-US"/>
        </w:rPr>
        <w:fldChar w:fldCharType="begin"/>
      </w:r>
      <w:r w:rsidR="006A6226" w:rsidRPr="00087AB3">
        <w:rPr>
          <w:rFonts w:cs="Arial"/>
          <w:b w:val="0"/>
          <w:szCs w:val="20"/>
          <w:lang w:val="en-US"/>
        </w:rPr>
        <w:instrText xml:space="preserve"> REF _Ref81601641 \r \h </w:instrText>
      </w:r>
      <w:r w:rsidR="00AA3979" w:rsidRPr="00087AB3">
        <w:rPr>
          <w:rFonts w:cs="Arial"/>
          <w:b w:val="0"/>
          <w:szCs w:val="20"/>
          <w:lang w:val="en-US"/>
        </w:rPr>
        <w:instrText xml:space="preserve"> \* MERGEFORMAT </w:instrText>
      </w:r>
      <w:r w:rsidR="006A6226" w:rsidRPr="00087AB3">
        <w:rPr>
          <w:rFonts w:cs="Arial"/>
          <w:b w:val="0"/>
          <w:szCs w:val="20"/>
          <w:lang w:val="en-US"/>
        </w:rPr>
      </w:r>
      <w:r w:rsidR="006A6226" w:rsidRPr="00087AB3">
        <w:rPr>
          <w:rFonts w:cs="Arial"/>
          <w:b w:val="0"/>
          <w:szCs w:val="20"/>
          <w:lang w:val="en-US"/>
        </w:rPr>
        <w:fldChar w:fldCharType="separate"/>
      </w:r>
      <w:r w:rsidR="003B2295">
        <w:rPr>
          <w:rFonts w:cs="Arial"/>
          <w:b w:val="0"/>
          <w:szCs w:val="20"/>
          <w:lang w:val="en-US"/>
        </w:rPr>
        <w:t>[12]</w:t>
      </w:r>
      <w:r w:rsidR="006A6226" w:rsidRPr="00087AB3">
        <w:rPr>
          <w:rFonts w:cs="Arial"/>
          <w:b w:val="0"/>
          <w:szCs w:val="20"/>
          <w:lang w:val="en-US"/>
        </w:rPr>
        <w:fldChar w:fldCharType="end"/>
      </w:r>
      <w:r w:rsidRPr="00087AB3">
        <w:rPr>
          <w:rFonts w:cs="Arial"/>
          <w:b w:val="0"/>
          <w:szCs w:val="20"/>
          <w:lang w:val="en-US"/>
        </w:rPr>
        <w:t xml:space="preserve"> addresses an ambiguity issue when a soft resource receives multiple DCI format 2_5 indications from the same parent IAB-node. According to TS 38.213 </w:t>
      </w:r>
      <w:r w:rsidRPr="00087AB3">
        <w:rPr>
          <w:rFonts w:cs="Arial"/>
          <w:b w:val="0"/>
          <w:szCs w:val="20"/>
          <w:lang w:val="en-US"/>
        </w:rPr>
        <w:fldChar w:fldCharType="begin"/>
      </w:r>
      <w:r w:rsidRPr="00087AB3">
        <w:rPr>
          <w:rFonts w:cs="Arial"/>
          <w:b w:val="0"/>
          <w:szCs w:val="20"/>
          <w:lang w:val="en-US"/>
        </w:rPr>
        <w:instrText xml:space="preserve"> REF _Ref71662548 \r \h  \* MERGEFORMAT </w:instrText>
      </w:r>
      <w:r w:rsidRPr="00087AB3">
        <w:rPr>
          <w:rFonts w:cs="Arial"/>
          <w:b w:val="0"/>
          <w:szCs w:val="20"/>
          <w:lang w:val="en-US"/>
        </w:rPr>
      </w:r>
      <w:r w:rsidRPr="00087AB3">
        <w:rPr>
          <w:rFonts w:cs="Arial"/>
          <w:b w:val="0"/>
          <w:szCs w:val="20"/>
          <w:lang w:val="en-US"/>
        </w:rPr>
        <w:fldChar w:fldCharType="separate"/>
      </w:r>
      <w:r w:rsidR="003B2295">
        <w:rPr>
          <w:rFonts w:cs="Arial"/>
          <w:b w:val="0"/>
          <w:szCs w:val="20"/>
          <w:lang w:val="en-US"/>
        </w:rPr>
        <w:t>[8]</w:t>
      </w:r>
      <w:r w:rsidRPr="00087AB3">
        <w:rPr>
          <w:rFonts w:cs="Arial"/>
          <w:b w:val="0"/>
          <w:szCs w:val="20"/>
          <w:lang w:val="en-US"/>
        </w:rPr>
        <w:fldChar w:fldCharType="end"/>
      </w:r>
      <w:r w:rsidRPr="00087AB3">
        <w:rPr>
          <w:rFonts w:cs="Arial"/>
          <w:b w:val="0"/>
          <w:szCs w:val="20"/>
          <w:lang w:val="en-US"/>
        </w:rPr>
        <w:t xml:space="preserve"> and TS 38.331 </w:t>
      </w:r>
      <w:r w:rsidRPr="00087AB3">
        <w:rPr>
          <w:rFonts w:cs="Arial"/>
          <w:b w:val="0"/>
          <w:szCs w:val="20"/>
          <w:lang w:val="en-US"/>
        </w:rPr>
        <w:fldChar w:fldCharType="begin"/>
      </w:r>
      <w:r w:rsidRPr="00087AB3">
        <w:rPr>
          <w:rFonts w:cs="Arial"/>
          <w:b w:val="0"/>
          <w:szCs w:val="20"/>
          <w:lang w:val="en-US"/>
        </w:rPr>
        <w:instrText xml:space="preserve"> REF _Ref74586978 \r \h  \* MERGEFORMAT </w:instrText>
      </w:r>
      <w:r w:rsidRPr="00087AB3">
        <w:rPr>
          <w:rFonts w:cs="Arial"/>
          <w:b w:val="0"/>
          <w:szCs w:val="20"/>
          <w:lang w:val="en-US"/>
        </w:rPr>
      </w:r>
      <w:r w:rsidRPr="00087AB3">
        <w:rPr>
          <w:rFonts w:cs="Arial"/>
          <w:b w:val="0"/>
          <w:szCs w:val="20"/>
          <w:lang w:val="en-US"/>
        </w:rPr>
        <w:fldChar w:fldCharType="separate"/>
      </w:r>
      <w:r w:rsidR="003B2295">
        <w:rPr>
          <w:rFonts w:cs="Arial"/>
          <w:b w:val="0"/>
          <w:szCs w:val="20"/>
          <w:lang w:val="en-US"/>
        </w:rPr>
        <w:t>[13]</w:t>
      </w:r>
      <w:r w:rsidRPr="00087AB3">
        <w:rPr>
          <w:rFonts w:cs="Arial"/>
          <w:b w:val="0"/>
          <w:szCs w:val="20"/>
          <w:lang w:val="en-US"/>
        </w:rPr>
        <w:fldChar w:fldCharType="end"/>
      </w:r>
      <w:r w:rsidRPr="00087AB3">
        <w:rPr>
          <w:rFonts w:cs="Arial"/>
          <w:b w:val="0"/>
          <w:szCs w:val="20"/>
          <w:lang w:val="en-US"/>
        </w:rPr>
        <w:t xml:space="preserve">, </w:t>
      </w:r>
      <w:r w:rsidRPr="00087AB3">
        <w:rPr>
          <w:rStyle w:val="IvDbodytextChar"/>
          <w:b w:val="0"/>
          <w:sz w:val="20"/>
          <w:szCs w:val="20"/>
          <w:lang w:val="en-US"/>
        </w:rPr>
        <w:t xml:space="preserve">the </w:t>
      </w:r>
      <w:r w:rsidRPr="00087AB3">
        <w:rPr>
          <w:rStyle w:val="IvDbodytextChar"/>
          <w:b w:val="0"/>
          <w:i/>
          <w:sz w:val="20"/>
          <w:szCs w:val="20"/>
          <w:lang w:val="en-US"/>
        </w:rPr>
        <w:t xml:space="preserve">resourceAvailability-r16 </w:t>
      </w:r>
      <w:r w:rsidRPr="00087AB3">
        <w:rPr>
          <w:rStyle w:val="IvDbodytextChar"/>
          <w:b w:val="0"/>
          <w:sz w:val="20"/>
          <w:szCs w:val="20"/>
          <w:lang w:val="en-US"/>
        </w:rPr>
        <w:t xml:space="preserve">in </w:t>
      </w:r>
      <w:r w:rsidRPr="00087AB3">
        <w:rPr>
          <w:rStyle w:val="IvDbodytextChar"/>
          <w:b w:val="0"/>
          <w:i/>
          <w:sz w:val="20"/>
          <w:szCs w:val="20"/>
          <w:lang w:val="en-US"/>
        </w:rPr>
        <w:t>AvailabilityCombination-r16</w:t>
      </w:r>
      <w:r w:rsidRPr="00087AB3">
        <w:rPr>
          <w:rStyle w:val="IvDbodytextChar"/>
          <w:b w:val="0"/>
          <w:sz w:val="20"/>
          <w:szCs w:val="20"/>
          <w:lang w:val="en-US"/>
        </w:rPr>
        <w:t xml:space="preserve"> can have a length between 1 to 256 (</w:t>
      </w:r>
      <w:r w:rsidRPr="00087AB3">
        <w:rPr>
          <w:rStyle w:val="IvDbodytextChar"/>
          <w:b w:val="0"/>
          <w:i/>
          <w:sz w:val="20"/>
          <w:szCs w:val="20"/>
          <w:lang w:val="en-US"/>
        </w:rPr>
        <w:t>maxNrofResourceAvailabilityPerCombination-16</w:t>
      </w:r>
      <w:r w:rsidRPr="00087AB3">
        <w:rPr>
          <w:rStyle w:val="IvDbodytextChar"/>
          <w:b w:val="0"/>
          <w:sz w:val="20"/>
          <w:szCs w:val="20"/>
          <w:lang w:val="en-US"/>
        </w:rPr>
        <w:t xml:space="preserve">) elements, i.e., the AI index in the DCI format 2_5 can provide, for different IAB-DU cells, explicit availability indication for different numbers of resource slots. TS 38.213 states also that the DCI format 2_5 is “starting from the earliest slot of the IAB-DU which overlaps in </w:t>
      </w:r>
      <w:r w:rsidRPr="00087AB3">
        <w:rPr>
          <w:lang w:val="en-US"/>
        </w:rPr>
        <w:t>time with the slot of the IAB-MT where the IAB-MT detects the DCI format 2_5</w:t>
      </w:r>
      <w:r w:rsidRPr="00087AB3">
        <w:rPr>
          <w:b w:val="0"/>
          <w:lang w:val="en-US"/>
        </w:rPr>
        <w:t>”. Since</w:t>
      </w:r>
      <w:r w:rsidRPr="00087AB3">
        <w:rPr>
          <w:lang w:val="en-US"/>
        </w:rPr>
        <w:t xml:space="preserve"> the DCI format 2_5 indication </w:t>
      </w:r>
      <w:r w:rsidRPr="00087AB3">
        <w:rPr>
          <w:b w:val="0"/>
          <w:lang w:val="en-US"/>
        </w:rPr>
        <w:t xml:space="preserve">provides information for a predefined set </w:t>
      </w:r>
      <w:r w:rsidR="00B6676D" w:rsidRPr="00087AB3">
        <w:rPr>
          <w:lang w:val="en-US"/>
        </w:rPr>
        <w:t>and</w:t>
      </w:r>
      <w:r w:rsidR="00B6676D" w:rsidRPr="00087AB3">
        <w:rPr>
          <w:bCs/>
          <w:lang w:val="en-US"/>
        </w:rPr>
        <w:t xml:space="preserve"> </w:t>
      </w:r>
      <w:proofErr w:type="gramStart"/>
      <w:r w:rsidR="0006071C" w:rsidRPr="00087AB3">
        <w:rPr>
          <w:bCs/>
          <w:lang w:val="en-US"/>
        </w:rPr>
        <w:t>in a given</w:t>
      </w:r>
      <w:proofErr w:type="gramEnd"/>
      <w:r w:rsidR="00B6676D" w:rsidRPr="00087AB3">
        <w:rPr>
          <w:lang w:val="en-US"/>
        </w:rPr>
        <w:t xml:space="preserve"> order</w:t>
      </w:r>
      <w:r w:rsidRPr="00087AB3">
        <w:rPr>
          <w:b w:val="0"/>
          <w:lang w:val="en-US"/>
        </w:rPr>
        <w:t xml:space="preserve"> of IAB-DU cells, availability indication becomes effective for all these IAB-DU cells at the same time.</w:t>
      </w:r>
      <w:r w:rsidRPr="00087AB3">
        <w:rPr>
          <w:rStyle w:val="IvDbodytextChar"/>
          <w:b w:val="0"/>
          <w:sz w:val="20"/>
          <w:szCs w:val="20"/>
          <w:lang w:val="en-US"/>
        </w:rPr>
        <w:t xml:space="preserve"> These two factors imply that it could happen that some slots will receive multiple DCI format 2_5 indications – just because the AI indication for another cell</w:t>
      </w:r>
      <w:r w:rsidR="00B6676D" w:rsidRPr="00087AB3">
        <w:rPr>
          <w:rStyle w:val="IvDbodytextChar"/>
          <w:b w:val="0"/>
          <w:sz w:val="20"/>
          <w:szCs w:val="20"/>
          <w:lang w:val="en-US"/>
        </w:rPr>
        <w:t>, referenced to at the end in DCI format 2_5,</w:t>
      </w:r>
      <w:r w:rsidRPr="00087AB3">
        <w:rPr>
          <w:rStyle w:val="IvDbodytextChar"/>
          <w:b w:val="0"/>
          <w:sz w:val="20"/>
          <w:szCs w:val="20"/>
          <w:lang w:val="en-US"/>
        </w:rPr>
        <w:t xml:space="preserve"> is updated. The current specification states that </w:t>
      </w:r>
      <w:r w:rsidRPr="00087AB3">
        <w:rPr>
          <w:b w:val="0"/>
          <w:szCs w:val="20"/>
          <w:lang w:val="en-US"/>
        </w:rPr>
        <w:t xml:space="preserve">the receiving IAB-MT expects that each of the more than one DCI formats 2_5 indicates the same value and leaves it for implementation, out of control of the indicating parent node. </w:t>
      </w:r>
      <w:r w:rsidRPr="00087AB3">
        <w:rPr>
          <w:rFonts w:cs="Arial"/>
          <w:b w:val="0"/>
          <w:szCs w:val="20"/>
          <w:lang w:val="en-US"/>
        </w:rPr>
        <w:t xml:space="preserve">Basically, the conflict can be avoided if the parent IAB-node could configure the overlapping DCI indications for the same slots with aligned AI values. However, this approach implies a need for a </w:t>
      </w:r>
      <w:r w:rsidRPr="00087AB3">
        <w:rPr>
          <w:rFonts w:cs="Arial"/>
          <w:b w:val="0"/>
          <w:bCs/>
          <w:szCs w:val="20"/>
          <w:lang w:val="en-US"/>
        </w:rPr>
        <w:t>greater</w:t>
      </w:r>
      <w:r w:rsidRPr="00087AB3">
        <w:rPr>
          <w:rFonts w:cs="Arial"/>
          <w:b w:val="0"/>
          <w:szCs w:val="20"/>
          <w:lang w:val="en-US"/>
        </w:rPr>
        <w:t xml:space="preserve"> number of </w:t>
      </w:r>
      <w:proofErr w:type="spellStart"/>
      <w:r w:rsidRPr="00087AB3">
        <w:rPr>
          <w:rFonts w:cs="Arial"/>
          <w:b w:val="0"/>
          <w:i/>
          <w:szCs w:val="20"/>
          <w:lang w:val="en-US"/>
        </w:rPr>
        <w:t>resourceAvailability</w:t>
      </w:r>
      <w:proofErr w:type="spellEnd"/>
      <w:r w:rsidRPr="00087AB3">
        <w:rPr>
          <w:rFonts w:cs="Arial"/>
          <w:b w:val="0"/>
          <w:bCs/>
          <w:szCs w:val="20"/>
          <w:lang w:val="en-US"/>
        </w:rPr>
        <w:t xml:space="preserve"> elements in </w:t>
      </w:r>
      <w:proofErr w:type="spellStart"/>
      <w:r w:rsidRPr="00087AB3">
        <w:rPr>
          <w:rFonts w:cs="Arial"/>
          <w:b w:val="0"/>
          <w:bCs/>
          <w:i/>
          <w:szCs w:val="20"/>
          <w:lang w:val="en-US"/>
        </w:rPr>
        <w:t>availabilityCombinations</w:t>
      </w:r>
      <w:proofErr w:type="spellEnd"/>
      <w:r w:rsidRPr="00087AB3">
        <w:rPr>
          <w:rFonts w:cs="Arial"/>
          <w:b w:val="0"/>
          <w:bCs/>
          <w:szCs w:val="20"/>
          <w:lang w:val="en-US"/>
        </w:rPr>
        <w:t xml:space="preserve"> which</w:t>
      </w:r>
      <w:r w:rsidRPr="00087AB3">
        <w:rPr>
          <w:rFonts w:cs="Arial"/>
          <w:b w:val="0"/>
          <w:szCs w:val="20"/>
          <w:lang w:val="en-US"/>
        </w:rPr>
        <w:t xml:space="preserve"> is not feasible since the current specification only allows maximum 512 </w:t>
      </w:r>
      <w:proofErr w:type="spellStart"/>
      <w:r w:rsidRPr="00087AB3">
        <w:rPr>
          <w:rFonts w:cs="Arial"/>
          <w:b w:val="0"/>
          <w:i/>
          <w:szCs w:val="20"/>
          <w:lang w:val="en-US"/>
        </w:rPr>
        <w:t>resourceAvailability</w:t>
      </w:r>
      <w:proofErr w:type="spellEnd"/>
      <w:r w:rsidRPr="00087AB3">
        <w:rPr>
          <w:rFonts w:cs="Arial"/>
          <w:b w:val="0"/>
          <w:bCs/>
          <w:i/>
          <w:iCs/>
          <w:szCs w:val="20"/>
          <w:lang w:val="en-US"/>
        </w:rPr>
        <w:t xml:space="preserve"> </w:t>
      </w:r>
      <w:r w:rsidRPr="00087AB3">
        <w:rPr>
          <w:rFonts w:cs="Arial"/>
          <w:b w:val="0"/>
          <w:bCs/>
          <w:szCs w:val="20"/>
          <w:lang w:val="en-US"/>
        </w:rPr>
        <w:t>elements and maybe also not appreciable to change.</w:t>
      </w:r>
      <w:r w:rsidRPr="00087AB3">
        <w:rPr>
          <w:rFonts w:cs="Arial"/>
          <w:b w:val="0"/>
          <w:szCs w:val="20"/>
          <w:lang w:val="en-US"/>
        </w:rPr>
        <w:t xml:space="preserve"> An efficient approach could be to include a </w:t>
      </w:r>
      <w:r w:rsidRPr="00087AB3">
        <w:rPr>
          <w:rStyle w:val="IvDbodytextChar"/>
          <w:b w:val="0"/>
          <w:sz w:val="20"/>
          <w:szCs w:val="20"/>
          <w:lang w:val="en-US"/>
        </w:rPr>
        <w:t xml:space="preserve">“No </w:t>
      </w:r>
      <w:proofErr w:type="spellStart"/>
      <w:r w:rsidRPr="00087AB3">
        <w:rPr>
          <w:rStyle w:val="IvDbodytextChar"/>
          <w:b w:val="0"/>
          <w:sz w:val="20"/>
          <w:szCs w:val="20"/>
          <w:lang w:val="en-US"/>
        </w:rPr>
        <w:t>AvailabilityIndication</w:t>
      </w:r>
      <w:proofErr w:type="spellEnd"/>
      <w:r w:rsidRPr="00087AB3">
        <w:rPr>
          <w:rStyle w:val="IvDbodytextChar"/>
          <w:b w:val="0"/>
          <w:sz w:val="20"/>
          <w:szCs w:val="20"/>
          <w:lang w:val="en-US"/>
        </w:rPr>
        <w:t xml:space="preserve"> (AI) Change” functionality, for example by reserving one </w:t>
      </w:r>
      <w:proofErr w:type="spellStart"/>
      <w:r w:rsidRPr="00087AB3">
        <w:rPr>
          <w:rStyle w:val="IvDbodytextChar"/>
          <w:b w:val="0"/>
          <w:i/>
          <w:sz w:val="20"/>
          <w:szCs w:val="20"/>
          <w:lang w:val="en-US"/>
        </w:rPr>
        <w:t>resourceAvailability</w:t>
      </w:r>
      <w:proofErr w:type="spellEnd"/>
      <w:r w:rsidRPr="00087AB3">
        <w:rPr>
          <w:rStyle w:val="IvDbodytextChar"/>
          <w:b w:val="0"/>
          <w:sz w:val="20"/>
          <w:szCs w:val="20"/>
          <w:lang w:val="en-US"/>
        </w:rPr>
        <w:t xml:space="preserve"> </w:t>
      </w:r>
      <w:r w:rsidRPr="00087AB3">
        <w:rPr>
          <w:rStyle w:val="IvDbodytextChar"/>
          <w:b w:val="0"/>
          <w:bCs/>
          <w:sz w:val="20"/>
          <w:szCs w:val="20"/>
          <w:lang w:val="en-US"/>
        </w:rPr>
        <w:t xml:space="preserve">element </w:t>
      </w:r>
      <w:r w:rsidRPr="00087AB3">
        <w:rPr>
          <w:rStyle w:val="IvDbodytextChar"/>
          <w:b w:val="0"/>
          <w:sz w:val="20"/>
          <w:szCs w:val="20"/>
          <w:lang w:val="en-US"/>
        </w:rPr>
        <w:t xml:space="preserve">of the </w:t>
      </w:r>
      <w:proofErr w:type="spellStart"/>
      <w:r w:rsidRPr="00087AB3">
        <w:rPr>
          <w:rStyle w:val="IvDbodytextChar"/>
          <w:b w:val="0"/>
          <w:i/>
          <w:sz w:val="20"/>
          <w:szCs w:val="20"/>
          <w:lang w:val="en-US"/>
        </w:rPr>
        <w:t>availabilityCombinations</w:t>
      </w:r>
      <w:proofErr w:type="spellEnd"/>
      <w:r w:rsidRPr="00087AB3">
        <w:rPr>
          <w:rStyle w:val="IvDbodytextChar"/>
          <w:b w:val="0"/>
          <w:sz w:val="20"/>
          <w:szCs w:val="20"/>
          <w:lang w:val="en-US"/>
        </w:rPr>
        <w:t xml:space="preserve"> table to signal to the IAB-DU cell </w:t>
      </w:r>
      <w:r w:rsidRPr="00087AB3">
        <w:rPr>
          <w:rStyle w:val="IvDbodytextChar"/>
          <w:b w:val="0"/>
          <w:color w:val="000000" w:themeColor="text1"/>
          <w:sz w:val="20"/>
          <w:szCs w:val="20"/>
          <w:lang w:val="en-US"/>
        </w:rPr>
        <w:t>that “</w:t>
      </w:r>
      <w:r w:rsidRPr="00087AB3">
        <w:rPr>
          <w:rStyle w:val="PlaceholderText"/>
          <w:b w:val="0"/>
          <w:color w:val="000000" w:themeColor="text1"/>
          <w:szCs w:val="20"/>
          <w:lang w:val="en-US"/>
        </w:rPr>
        <w:t>No Availability Indication is provided</w:t>
      </w:r>
      <w:r w:rsidRPr="00087AB3">
        <w:rPr>
          <w:rStyle w:val="IvDbodytextChar"/>
          <w:b w:val="0"/>
          <w:sz w:val="20"/>
          <w:szCs w:val="20"/>
          <w:lang w:val="en-US"/>
        </w:rPr>
        <w:t>” in DCI format 2_5 for slots which receive multiple Availability Indicators (AIs).</w:t>
      </w:r>
    </w:p>
    <w:p w14:paraId="202DE258" w14:textId="1E2F3F74" w:rsidR="008F1F8C" w:rsidRPr="00087AB3" w:rsidRDefault="008F1F8C" w:rsidP="003B2295">
      <w:pPr>
        <w:pStyle w:val="Proposal"/>
        <w:tabs>
          <w:tab w:val="clear" w:pos="1872"/>
        </w:tabs>
        <w:ind w:left="1304"/>
        <w:rPr>
          <w:lang w:eastAsia="ja-JP"/>
        </w:rPr>
      </w:pPr>
      <w:bookmarkStart w:id="57" w:name="_Toc95772015"/>
      <w:r w:rsidRPr="00087AB3">
        <w:rPr>
          <w:lang w:eastAsia="ja-JP"/>
        </w:rPr>
        <w:t xml:space="preserve">One </w:t>
      </w:r>
      <w:proofErr w:type="spellStart"/>
      <w:r w:rsidRPr="00086F91">
        <w:rPr>
          <w:lang w:eastAsia="ja-JP"/>
        </w:rPr>
        <w:t>resourceAvailability</w:t>
      </w:r>
      <w:proofErr w:type="spellEnd"/>
      <w:r w:rsidRPr="00087AB3">
        <w:rPr>
          <w:lang w:eastAsia="ja-JP"/>
        </w:rPr>
        <w:t xml:space="preserve"> element of the </w:t>
      </w:r>
      <w:proofErr w:type="spellStart"/>
      <w:r w:rsidRPr="00086F91">
        <w:rPr>
          <w:lang w:eastAsia="ja-JP"/>
        </w:rPr>
        <w:t>availabilityCombinations</w:t>
      </w:r>
      <w:proofErr w:type="spellEnd"/>
      <w:r w:rsidRPr="00087AB3">
        <w:rPr>
          <w:lang w:eastAsia="ja-JP"/>
        </w:rPr>
        <w:t xml:space="preserve"> table is reserved to signal to the IAB-DU that “No </w:t>
      </w:r>
      <w:r w:rsidR="00103D56" w:rsidRPr="00087AB3">
        <w:rPr>
          <w:lang w:eastAsia="ja-JP"/>
        </w:rPr>
        <w:t xml:space="preserve">new </w:t>
      </w:r>
      <w:r w:rsidRPr="00087AB3">
        <w:rPr>
          <w:lang w:eastAsia="ja-JP"/>
        </w:rPr>
        <w:t>Availability Indication is provided” in DCI format 2_5 for slots which receive multiple Availability Indicators.</w:t>
      </w:r>
      <w:bookmarkEnd w:id="57"/>
    </w:p>
    <w:p w14:paraId="3945751F" w14:textId="1CAED21E" w:rsidR="00F63950" w:rsidRPr="00087AB3" w:rsidRDefault="00E6351D" w:rsidP="003B2295">
      <w:pPr>
        <w:pStyle w:val="Heading2"/>
        <w:jc w:val="both"/>
        <w:rPr>
          <w:lang w:val="en-US"/>
        </w:rPr>
      </w:pPr>
      <w:r w:rsidRPr="00087AB3">
        <w:rPr>
          <w:lang w:val="en-US"/>
        </w:rPr>
        <w:t>Space domain multiplexing</w:t>
      </w:r>
    </w:p>
    <w:p w14:paraId="2AC61B2A" w14:textId="50269FB3" w:rsidR="009A6063" w:rsidRPr="00087AB3" w:rsidRDefault="009A6063" w:rsidP="003B2295">
      <w:pPr>
        <w:jc w:val="both"/>
        <w:rPr>
          <w:rFonts w:cs="Arial"/>
          <w:szCs w:val="20"/>
          <w:lang w:eastAsia="ja-JP"/>
        </w:rPr>
      </w:pPr>
      <w:r w:rsidRPr="00087AB3">
        <w:rPr>
          <w:rFonts w:cs="Arial"/>
          <w:szCs w:val="20"/>
        </w:rPr>
        <w:t>In RAN1#10</w:t>
      </w:r>
      <w:r w:rsidR="00FB25FA">
        <w:rPr>
          <w:rFonts w:cs="Arial"/>
          <w:szCs w:val="20"/>
        </w:rPr>
        <w:t>7</w:t>
      </w:r>
      <w:r w:rsidR="00325ACC">
        <w:rPr>
          <w:rFonts w:cs="Arial"/>
          <w:szCs w:val="20"/>
        </w:rPr>
        <w:t>-</w:t>
      </w:r>
      <w:r w:rsidRPr="00087AB3">
        <w:rPr>
          <w:rFonts w:cs="Arial"/>
          <w:szCs w:val="20"/>
        </w:rPr>
        <w:t>e the following objectives of spatial domain resource multiplexing were agreed</w:t>
      </w:r>
      <w:r w:rsidR="004E0741">
        <w:rPr>
          <w:rFonts w:cs="Arial"/>
          <w:szCs w:val="20"/>
        </w:rPr>
        <w:t xml:space="preserve"> </w:t>
      </w:r>
      <w:r w:rsidR="004E0741">
        <w:rPr>
          <w:rFonts w:cs="Arial"/>
          <w:szCs w:val="20"/>
        </w:rPr>
        <w:fldChar w:fldCharType="begin"/>
      </w:r>
      <w:r w:rsidR="004E0741">
        <w:rPr>
          <w:rFonts w:cs="Arial"/>
          <w:szCs w:val="20"/>
        </w:rPr>
        <w:instrText xml:space="preserve"> REF _Ref85313944 \r \h </w:instrText>
      </w:r>
      <w:r w:rsidR="004E0741">
        <w:rPr>
          <w:rFonts w:cs="Arial"/>
          <w:szCs w:val="20"/>
        </w:rPr>
      </w:r>
      <w:r w:rsidR="009C54D2">
        <w:rPr>
          <w:rFonts w:cs="Arial"/>
          <w:szCs w:val="20"/>
        </w:rPr>
        <w:instrText xml:space="preserve"> \* MERGEFORMAT </w:instrText>
      </w:r>
      <w:r w:rsidR="004E0741">
        <w:rPr>
          <w:rFonts w:cs="Arial"/>
          <w:szCs w:val="20"/>
        </w:rPr>
        <w:fldChar w:fldCharType="separate"/>
      </w:r>
      <w:r w:rsidR="003B2295">
        <w:rPr>
          <w:rFonts w:cs="Arial"/>
          <w:szCs w:val="20"/>
        </w:rPr>
        <w:t>[2]</w:t>
      </w:r>
      <w:r w:rsidR="004E0741">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9A6063" w:rsidRPr="00087AB3" w14:paraId="6CDBC6DB" w14:textId="77777777" w:rsidTr="001F2465">
        <w:tc>
          <w:tcPr>
            <w:tcW w:w="9629" w:type="dxa"/>
          </w:tcPr>
          <w:p w14:paraId="2141E634" w14:textId="11AFE26F" w:rsidR="00FB25FA" w:rsidRPr="00CA0CA5" w:rsidRDefault="00FB25FA" w:rsidP="003B2295">
            <w:pPr>
              <w:jc w:val="both"/>
              <w:rPr>
                <w:rFonts w:cs="Times"/>
                <w:b/>
                <w:bCs/>
                <w:sz w:val="20"/>
                <w:szCs w:val="20"/>
                <w:lang w:val="en-GB"/>
              </w:rPr>
            </w:pPr>
            <w:r w:rsidRPr="00CA0CA5">
              <w:rPr>
                <w:rFonts w:cs="Times"/>
                <w:b/>
                <w:bCs/>
                <w:sz w:val="20"/>
                <w:szCs w:val="20"/>
                <w:highlight w:val="green"/>
              </w:rPr>
              <w:lastRenderedPageBreak/>
              <w:t>Agreement</w:t>
            </w:r>
            <w:r w:rsidR="00CA0CA5" w:rsidRPr="00CA0CA5">
              <w:rPr>
                <w:rFonts w:cs="Times"/>
                <w:b/>
                <w:bCs/>
                <w:sz w:val="20"/>
                <w:szCs w:val="20"/>
              </w:rPr>
              <w:t>:</w:t>
            </w:r>
          </w:p>
          <w:p w14:paraId="78290B64" w14:textId="77777777" w:rsidR="00FB25FA" w:rsidRPr="00CA0CA5" w:rsidRDefault="00FB25FA" w:rsidP="003B2295">
            <w:pPr>
              <w:jc w:val="both"/>
              <w:rPr>
                <w:rFonts w:cs="Times"/>
                <w:sz w:val="20"/>
                <w:szCs w:val="20"/>
                <w:lang w:val="en-GB"/>
              </w:rPr>
            </w:pPr>
            <w:r w:rsidRPr="00CA0CA5">
              <w:rPr>
                <w:rFonts w:cs="Times"/>
                <w:sz w:val="20"/>
                <w:szCs w:val="20"/>
              </w:rPr>
              <w:t>In addition to SSB ID, CSI-RS ID may be additionally used as the RS ID for a restricted beam indication from the parent node to the IAB node. </w:t>
            </w:r>
          </w:p>
          <w:p w14:paraId="59A6E580" w14:textId="77777777" w:rsidR="00FB25FA" w:rsidRPr="00CA0CA5" w:rsidRDefault="00FB25FA" w:rsidP="003B2295">
            <w:pPr>
              <w:jc w:val="both"/>
              <w:rPr>
                <w:rFonts w:cs="Times"/>
                <w:sz w:val="20"/>
                <w:szCs w:val="20"/>
                <w:lang w:val="en-GB"/>
              </w:rPr>
            </w:pPr>
            <w:r w:rsidRPr="00CA0CA5">
              <w:rPr>
                <w:rFonts w:cs="Times"/>
                <w:sz w:val="20"/>
                <w:szCs w:val="20"/>
              </w:rPr>
              <w:t>   - STC index may be additionally indicated along with SSB ID if more than one STC is configured at the IAB node.</w:t>
            </w:r>
          </w:p>
          <w:p w14:paraId="72BF482C" w14:textId="77777777" w:rsidR="00FB25FA" w:rsidRPr="00CA0CA5" w:rsidRDefault="00FB25FA" w:rsidP="003B2295">
            <w:pPr>
              <w:jc w:val="both"/>
              <w:rPr>
                <w:rFonts w:cs="Times"/>
                <w:sz w:val="20"/>
                <w:szCs w:val="20"/>
                <w:lang w:val="en-GB"/>
              </w:rPr>
            </w:pPr>
            <w:r w:rsidRPr="00CA0CA5">
              <w:rPr>
                <w:rFonts w:cs="Times"/>
                <w:sz w:val="20"/>
                <w:szCs w:val="20"/>
              </w:rPr>
              <w:t>   - Note: This does not mean that IAB-specific CSI-RS should be developed and requires no additional specification work</w:t>
            </w:r>
          </w:p>
          <w:p w14:paraId="2F40B6AC" w14:textId="77777777" w:rsidR="00FB25FA" w:rsidRPr="00CA0CA5" w:rsidRDefault="00FB25FA" w:rsidP="003B2295">
            <w:pPr>
              <w:jc w:val="both"/>
              <w:rPr>
                <w:rFonts w:cs="Times"/>
                <w:b/>
                <w:bCs/>
                <w:sz w:val="20"/>
                <w:szCs w:val="20"/>
                <w:lang w:val="en-GB"/>
              </w:rPr>
            </w:pPr>
            <w:r w:rsidRPr="00CA0CA5">
              <w:rPr>
                <w:rFonts w:cs="Times"/>
                <w:b/>
                <w:bCs/>
                <w:sz w:val="20"/>
                <w:szCs w:val="20"/>
                <w:highlight w:val="green"/>
              </w:rPr>
              <w:t>Agreement:</w:t>
            </w:r>
          </w:p>
          <w:p w14:paraId="60ACB388" w14:textId="240EB5C0" w:rsidR="00FB25FA" w:rsidRPr="00CA0CA5" w:rsidRDefault="00FB25FA" w:rsidP="003B2295">
            <w:pPr>
              <w:pStyle w:val="ListParagraph"/>
              <w:numPr>
                <w:ilvl w:val="0"/>
                <w:numId w:val="27"/>
              </w:numPr>
              <w:jc w:val="both"/>
              <w:rPr>
                <w:rFonts w:ascii="Arial" w:hAnsi="Arial" w:cs="Arial"/>
                <w:sz w:val="20"/>
                <w:szCs w:val="20"/>
              </w:rPr>
            </w:pPr>
            <w:r w:rsidRPr="00CA0CA5">
              <w:rPr>
                <w:rFonts w:ascii="Arial" w:hAnsi="Arial" w:cs="Arial"/>
                <w:sz w:val="20"/>
                <w:szCs w:val="20"/>
              </w:rPr>
              <w:t>The maximum number of recommended beams per MT CC in a given indication (including all associated parameters/conditions) is 8.</w:t>
            </w:r>
          </w:p>
          <w:p w14:paraId="5C705A72" w14:textId="329BA0F1" w:rsidR="00FB25FA" w:rsidRPr="00CA0CA5" w:rsidRDefault="00FB25FA" w:rsidP="003B2295">
            <w:pPr>
              <w:pStyle w:val="ListParagraph"/>
              <w:numPr>
                <w:ilvl w:val="0"/>
                <w:numId w:val="27"/>
              </w:numPr>
              <w:jc w:val="both"/>
              <w:rPr>
                <w:rFonts w:ascii="Arial" w:hAnsi="Arial" w:cs="Arial"/>
                <w:sz w:val="20"/>
                <w:szCs w:val="20"/>
              </w:rPr>
            </w:pPr>
            <w:r w:rsidRPr="00CA0CA5">
              <w:rPr>
                <w:rFonts w:ascii="Arial" w:hAnsi="Arial" w:cs="Arial"/>
                <w:sz w:val="20"/>
                <w:szCs w:val="20"/>
              </w:rPr>
              <w:t>The maximum number of restricted beams per DU cell in a given indication (including all associated parameters/conditions) is 8.</w:t>
            </w:r>
          </w:p>
          <w:p w14:paraId="1779FCDE" w14:textId="77777777" w:rsidR="00FB25FA" w:rsidRPr="00CA0CA5" w:rsidRDefault="00FB25FA" w:rsidP="003B2295">
            <w:pPr>
              <w:pStyle w:val="ListParagraph"/>
              <w:ind w:left="360"/>
              <w:jc w:val="both"/>
              <w:rPr>
                <w:rFonts w:ascii="Arial" w:hAnsi="Arial" w:cs="Arial"/>
                <w:sz w:val="20"/>
                <w:szCs w:val="20"/>
              </w:rPr>
            </w:pPr>
          </w:p>
          <w:p w14:paraId="5D4AB2C9" w14:textId="2A99F092" w:rsidR="00FB25FA" w:rsidRPr="00CA0CA5" w:rsidRDefault="00FB25FA" w:rsidP="003B2295">
            <w:pPr>
              <w:jc w:val="both"/>
              <w:rPr>
                <w:rFonts w:cs="Times"/>
                <w:b/>
                <w:bCs/>
                <w:sz w:val="20"/>
                <w:szCs w:val="20"/>
                <w:lang w:val="en-GB"/>
              </w:rPr>
            </w:pPr>
            <w:r w:rsidRPr="00CA0CA5">
              <w:rPr>
                <w:rFonts w:cs="Times"/>
                <w:b/>
                <w:bCs/>
                <w:sz w:val="20"/>
                <w:szCs w:val="20"/>
                <w:highlight w:val="green"/>
                <w:lang w:val="en-GB"/>
              </w:rPr>
              <w:t>Agreement:</w:t>
            </w:r>
          </w:p>
          <w:p w14:paraId="15B9AE07" w14:textId="77777777" w:rsidR="00FB25FA" w:rsidRPr="00CA0CA5" w:rsidRDefault="00FB25FA" w:rsidP="003B2295">
            <w:pPr>
              <w:jc w:val="both"/>
              <w:rPr>
                <w:rFonts w:cs="Times"/>
                <w:sz w:val="20"/>
                <w:szCs w:val="20"/>
                <w:lang w:val="en-GB"/>
              </w:rPr>
            </w:pPr>
            <w:r w:rsidRPr="00CA0CA5">
              <w:rPr>
                <w:rFonts w:cs="Times"/>
                <w:sz w:val="20"/>
                <w:szCs w:val="20"/>
                <w:lang w:val="en-GB"/>
              </w:rPr>
              <w:t>The IAB-DU is expected to apply the indicated beam restriction within its soft resources that are not explicitly indicated as available.  </w:t>
            </w:r>
          </w:p>
          <w:p w14:paraId="0F55F054" w14:textId="6EAECA82" w:rsidR="00FB25FA" w:rsidRPr="00CA0CA5" w:rsidRDefault="00FB25FA" w:rsidP="003B2295">
            <w:pPr>
              <w:jc w:val="both"/>
              <w:rPr>
                <w:rFonts w:cs="Times"/>
                <w:sz w:val="20"/>
                <w:szCs w:val="20"/>
                <w:lang w:val="en-GB"/>
              </w:rPr>
            </w:pPr>
            <w:r w:rsidRPr="00CA0CA5">
              <w:rPr>
                <w:rFonts w:cs="Times"/>
                <w:b/>
                <w:bCs/>
                <w:sz w:val="20"/>
                <w:szCs w:val="20"/>
                <w:highlight w:val="green"/>
                <w:lang w:val="en-GB"/>
              </w:rPr>
              <w:t>Agreement</w:t>
            </w:r>
            <w:r w:rsidRPr="00CA0CA5">
              <w:rPr>
                <w:rFonts w:cs="Times"/>
                <w:sz w:val="20"/>
                <w:szCs w:val="20"/>
                <w:lang w:val="en-GB"/>
              </w:rPr>
              <w:t>:</w:t>
            </w:r>
          </w:p>
          <w:p w14:paraId="6EF17951" w14:textId="77777777" w:rsidR="00FB25FA" w:rsidRPr="00CA0CA5" w:rsidRDefault="00FB25FA" w:rsidP="003B2295">
            <w:pPr>
              <w:jc w:val="both"/>
              <w:rPr>
                <w:rFonts w:cs="Times"/>
                <w:sz w:val="20"/>
                <w:szCs w:val="20"/>
                <w:lang w:val="en-GB"/>
              </w:rPr>
            </w:pPr>
            <w:r w:rsidRPr="00CA0CA5">
              <w:rPr>
                <w:rFonts w:cs="Times"/>
                <w:sz w:val="20"/>
                <w:szCs w:val="20"/>
                <w:lang w:val="en-GB"/>
              </w:rPr>
              <w:t>The restricted beam indication from the parent node to the IAB node may be indicated to be associated with some combination (one or multiple) of the following IAB-node’s configurations: </w:t>
            </w:r>
          </w:p>
          <w:p w14:paraId="40C7F81C" w14:textId="77777777" w:rsidR="00FB25FA" w:rsidRPr="00CA0CA5" w:rsidRDefault="00FB25FA" w:rsidP="003B2295">
            <w:pPr>
              <w:numPr>
                <w:ilvl w:val="0"/>
                <w:numId w:val="24"/>
              </w:numPr>
              <w:jc w:val="both"/>
              <w:rPr>
                <w:rFonts w:cs="Times"/>
                <w:sz w:val="20"/>
                <w:szCs w:val="20"/>
                <w:lang w:val="en-GB"/>
              </w:rPr>
            </w:pPr>
            <w:r w:rsidRPr="00CA0CA5">
              <w:rPr>
                <w:rFonts w:cs="Times"/>
                <w:sz w:val="20"/>
                <w:szCs w:val="20"/>
                <w:lang w:val="en-GB"/>
              </w:rPr>
              <w:t>{MT CC, DU cell} pair and optionally may be indicated to be associated with only {DU cell} if independent of MT CC(s)</w:t>
            </w:r>
          </w:p>
          <w:p w14:paraId="5286225D" w14:textId="77777777" w:rsidR="00FB25FA" w:rsidRPr="00CA0CA5" w:rsidRDefault="00FB25FA" w:rsidP="003B2295">
            <w:pPr>
              <w:numPr>
                <w:ilvl w:val="0"/>
                <w:numId w:val="24"/>
              </w:numPr>
              <w:jc w:val="both"/>
              <w:rPr>
                <w:rFonts w:cs="Times"/>
                <w:sz w:val="20"/>
                <w:szCs w:val="20"/>
                <w:lang w:val="en-GB"/>
              </w:rPr>
            </w:pPr>
            <w:r w:rsidRPr="00CA0CA5">
              <w:rPr>
                <w:rFonts w:cs="Times"/>
                <w:sz w:val="20"/>
                <w:szCs w:val="20"/>
                <w:lang w:val="en-GB"/>
              </w:rPr>
              <w:t>Multiplexing mode info (</w:t>
            </w:r>
            <w:proofErr w:type="gramStart"/>
            <w:r w:rsidRPr="00CA0CA5">
              <w:rPr>
                <w:rFonts w:cs="Times"/>
                <w:sz w:val="20"/>
                <w:szCs w:val="20"/>
                <w:lang w:val="en-GB"/>
              </w:rPr>
              <w:t>i.e.</w:t>
            </w:r>
            <w:proofErr w:type="gramEnd"/>
            <w:r w:rsidRPr="00CA0CA5">
              <w:rPr>
                <w:rFonts w:cs="Times"/>
                <w:sz w:val="20"/>
                <w:szCs w:val="20"/>
                <w:lang w:val="en-GB"/>
              </w:rPr>
              <w:t xml:space="preserve"> multiplexing info in 38.473) and optionally may be indicated to be applicable to non-overlapping frequency resources</w:t>
            </w:r>
          </w:p>
          <w:p w14:paraId="7EE11B9A" w14:textId="77777777" w:rsidR="00FB25FA" w:rsidRPr="00CA0CA5" w:rsidRDefault="00FB25FA" w:rsidP="003B2295">
            <w:pPr>
              <w:numPr>
                <w:ilvl w:val="0"/>
                <w:numId w:val="24"/>
              </w:numPr>
              <w:jc w:val="both"/>
              <w:rPr>
                <w:rFonts w:cs="Times"/>
                <w:sz w:val="20"/>
                <w:szCs w:val="20"/>
                <w:lang w:val="sv-SE"/>
              </w:rPr>
            </w:pPr>
            <w:r w:rsidRPr="00CA0CA5">
              <w:rPr>
                <w:rFonts w:cs="Times"/>
                <w:sz w:val="20"/>
                <w:szCs w:val="20"/>
                <w:lang w:val="sv-SE"/>
              </w:rPr>
              <w:t>Slot index </w:t>
            </w:r>
          </w:p>
          <w:p w14:paraId="1CECF0A3" w14:textId="77777777" w:rsidR="00FB25FA" w:rsidRPr="00CA0CA5" w:rsidRDefault="00FB25FA" w:rsidP="003B2295">
            <w:pPr>
              <w:numPr>
                <w:ilvl w:val="0"/>
                <w:numId w:val="24"/>
              </w:numPr>
              <w:jc w:val="both"/>
              <w:rPr>
                <w:rFonts w:cs="Times"/>
                <w:sz w:val="20"/>
                <w:szCs w:val="20"/>
                <w:lang w:val="en-GB"/>
              </w:rPr>
            </w:pPr>
            <w:r w:rsidRPr="00CA0CA5">
              <w:rPr>
                <w:rFonts w:cs="Times"/>
                <w:sz w:val="20"/>
                <w:szCs w:val="20"/>
                <w:lang w:val="en-GB"/>
              </w:rPr>
              <w:t>Association with IAB-MT’s DL Rx beam via TCI state ID and RS ID (SSB ID and/or CSI-RS ID) or UL TX beam via SRI </w:t>
            </w:r>
          </w:p>
          <w:p w14:paraId="2FF23371" w14:textId="77777777" w:rsidR="00FB25FA" w:rsidRPr="00CA0CA5" w:rsidRDefault="00FB25FA" w:rsidP="003B2295">
            <w:pPr>
              <w:spacing w:after="0"/>
              <w:jc w:val="both"/>
              <w:rPr>
                <w:rFonts w:cs="Arial"/>
                <w:b/>
                <w:bCs/>
                <w:sz w:val="20"/>
                <w:szCs w:val="20"/>
                <w:lang w:val="en-GB"/>
              </w:rPr>
            </w:pPr>
            <w:r w:rsidRPr="00CA0CA5">
              <w:rPr>
                <w:rFonts w:cs="Arial"/>
                <w:b/>
                <w:bCs/>
                <w:sz w:val="20"/>
                <w:szCs w:val="20"/>
                <w:highlight w:val="green"/>
                <w:lang w:val="en-GB"/>
              </w:rPr>
              <w:t>Agreement:</w:t>
            </w:r>
            <w:r w:rsidRPr="00CA0CA5">
              <w:rPr>
                <w:rFonts w:cs="Arial"/>
                <w:b/>
                <w:bCs/>
                <w:sz w:val="20"/>
                <w:szCs w:val="20"/>
                <w:lang w:val="en-GB"/>
              </w:rPr>
              <w:t> </w:t>
            </w:r>
          </w:p>
          <w:p w14:paraId="79AC494B" w14:textId="77777777" w:rsidR="00FB25FA" w:rsidRPr="00CA0CA5" w:rsidRDefault="00FB25FA" w:rsidP="003B2295">
            <w:pPr>
              <w:spacing w:after="0"/>
              <w:jc w:val="both"/>
              <w:rPr>
                <w:rFonts w:cs="Arial"/>
                <w:sz w:val="20"/>
                <w:szCs w:val="20"/>
                <w:lang w:val="en-GB"/>
              </w:rPr>
            </w:pPr>
            <w:r w:rsidRPr="00CA0CA5">
              <w:rPr>
                <w:rFonts w:cs="Arial"/>
                <w:sz w:val="20"/>
                <w:szCs w:val="20"/>
                <w:lang w:val="en-GB"/>
              </w:rPr>
              <w:t>The recommended beam indication from the IAB-MT to the parent node are provided using the following: </w:t>
            </w:r>
          </w:p>
          <w:p w14:paraId="6184BAE1" w14:textId="77777777" w:rsidR="00FB25FA" w:rsidRPr="00CA0CA5" w:rsidRDefault="00FB25FA" w:rsidP="003B2295">
            <w:pPr>
              <w:numPr>
                <w:ilvl w:val="0"/>
                <w:numId w:val="25"/>
              </w:numPr>
              <w:spacing w:after="0"/>
              <w:jc w:val="both"/>
              <w:rPr>
                <w:rFonts w:cs="Arial"/>
                <w:sz w:val="20"/>
                <w:szCs w:val="20"/>
                <w:lang w:val="en-GB"/>
              </w:rPr>
            </w:pPr>
            <w:r w:rsidRPr="00CA0CA5">
              <w:rPr>
                <w:rFonts w:cs="Arial"/>
                <w:sz w:val="20"/>
                <w:szCs w:val="20"/>
                <w:lang w:val="en-GB"/>
              </w:rPr>
              <w:t>For DL Rx beam(s) </w:t>
            </w:r>
          </w:p>
          <w:p w14:paraId="3C0234A9" w14:textId="77777777" w:rsidR="00FB25FA" w:rsidRPr="00CA0CA5" w:rsidRDefault="00FB25FA" w:rsidP="003B2295">
            <w:pPr>
              <w:numPr>
                <w:ilvl w:val="0"/>
                <w:numId w:val="25"/>
              </w:numPr>
              <w:spacing w:after="0"/>
              <w:jc w:val="both"/>
              <w:rPr>
                <w:rFonts w:cs="Arial"/>
                <w:sz w:val="20"/>
                <w:szCs w:val="20"/>
                <w:lang w:val="en-GB"/>
              </w:rPr>
            </w:pPr>
            <w:r w:rsidRPr="00CA0CA5">
              <w:rPr>
                <w:rFonts w:cs="Arial"/>
                <w:sz w:val="20"/>
                <w:szCs w:val="20"/>
                <w:lang w:val="en-GB"/>
              </w:rPr>
              <w:t>DL TCI state ID and RS ID (SSB ID and/or CSI-RS ID)</w:t>
            </w:r>
          </w:p>
          <w:p w14:paraId="3BAB18F4" w14:textId="77777777" w:rsidR="00FB25FA" w:rsidRPr="00CA0CA5" w:rsidRDefault="00FB25FA" w:rsidP="003B2295">
            <w:pPr>
              <w:numPr>
                <w:ilvl w:val="0"/>
                <w:numId w:val="25"/>
              </w:numPr>
              <w:spacing w:after="0"/>
              <w:jc w:val="both"/>
              <w:rPr>
                <w:rFonts w:cs="Arial"/>
                <w:sz w:val="20"/>
                <w:szCs w:val="20"/>
                <w:lang w:val="en-GB"/>
              </w:rPr>
            </w:pPr>
            <w:r w:rsidRPr="00CA0CA5">
              <w:rPr>
                <w:rFonts w:cs="Arial"/>
                <w:sz w:val="20"/>
                <w:szCs w:val="20"/>
                <w:lang w:val="en-GB"/>
              </w:rPr>
              <w:t>For UL Tx beam(s) </w:t>
            </w:r>
          </w:p>
          <w:p w14:paraId="2DE90F26" w14:textId="786ACAD5" w:rsidR="00FB25FA" w:rsidRPr="00CA0CA5" w:rsidRDefault="00FB25FA" w:rsidP="003B2295">
            <w:pPr>
              <w:numPr>
                <w:ilvl w:val="0"/>
                <w:numId w:val="25"/>
              </w:numPr>
              <w:spacing w:after="0"/>
              <w:jc w:val="both"/>
              <w:rPr>
                <w:rFonts w:cs="Arial"/>
                <w:sz w:val="20"/>
                <w:szCs w:val="20"/>
                <w:lang w:val="sv-SE"/>
              </w:rPr>
            </w:pPr>
            <w:r w:rsidRPr="00CA0CA5">
              <w:rPr>
                <w:rFonts w:cs="Arial"/>
                <w:sz w:val="20"/>
                <w:szCs w:val="20"/>
                <w:lang w:val="sv-SE"/>
              </w:rPr>
              <w:t>SRI</w:t>
            </w:r>
          </w:p>
          <w:p w14:paraId="33F45141" w14:textId="77777777" w:rsidR="00FB25FA" w:rsidRPr="00CA0CA5" w:rsidRDefault="00FB25FA" w:rsidP="003B2295">
            <w:pPr>
              <w:spacing w:after="0"/>
              <w:ind w:left="720"/>
              <w:jc w:val="both"/>
              <w:rPr>
                <w:rFonts w:cs="Arial"/>
                <w:sz w:val="20"/>
                <w:szCs w:val="20"/>
                <w:lang w:val="sv-SE"/>
              </w:rPr>
            </w:pPr>
          </w:p>
          <w:p w14:paraId="60F6FBB8" w14:textId="24F57A8A" w:rsidR="00FB25FA" w:rsidRPr="00CA0CA5" w:rsidRDefault="00FB25FA" w:rsidP="003B2295">
            <w:pPr>
              <w:spacing w:after="0"/>
              <w:jc w:val="both"/>
              <w:rPr>
                <w:rFonts w:cs="Arial"/>
                <w:sz w:val="20"/>
                <w:szCs w:val="20"/>
                <w:lang w:val="sv-SE"/>
              </w:rPr>
            </w:pPr>
            <w:r w:rsidRPr="00CA0CA5">
              <w:rPr>
                <w:rFonts w:cs="Arial"/>
                <w:b/>
                <w:bCs/>
                <w:sz w:val="20"/>
                <w:szCs w:val="20"/>
                <w:highlight w:val="green"/>
                <w:lang w:val="en-GB"/>
              </w:rPr>
              <w:t>Agreement</w:t>
            </w:r>
            <w:r w:rsidRPr="00CA0CA5">
              <w:rPr>
                <w:rFonts w:cs="Arial"/>
                <w:b/>
                <w:bCs/>
                <w:sz w:val="20"/>
                <w:szCs w:val="20"/>
                <w:lang w:val="en-GB"/>
              </w:rPr>
              <w:t>:</w:t>
            </w:r>
          </w:p>
          <w:p w14:paraId="7E23B6A7" w14:textId="77777777" w:rsidR="00FB25FA" w:rsidRPr="00CA0CA5" w:rsidRDefault="00FB25FA" w:rsidP="003B2295">
            <w:pPr>
              <w:spacing w:after="0"/>
              <w:jc w:val="both"/>
              <w:rPr>
                <w:rFonts w:cs="Arial"/>
                <w:sz w:val="20"/>
                <w:szCs w:val="20"/>
                <w:lang w:val="en-GB"/>
              </w:rPr>
            </w:pPr>
            <w:r w:rsidRPr="00CA0CA5">
              <w:rPr>
                <w:rFonts w:cs="Arial"/>
                <w:sz w:val="20"/>
                <w:szCs w:val="20"/>
                <w:lang w:val="en-GB"/>
              </w:rPr>
              <w:t>The recommended beam indication from the IAB node to the parent node may be indicated to be associated with some combination (one or multiple) of the following IAB-node’s configurations: </w:t>
            </w:r>
          </w:p>
          <w:p w14:paraId="3B232BB0" w14:textId="77777777" w:rsidR="00FB25FA" w:rsidRPr="00CA0CA5" w:rsidRDefault="00FB25FA" w:rsidP="003B2295">
            <w:pPr>
              <w:numPr>
                <w:ilvl w:val="0"/>
                <w:numId w:val="26"/>
              </w:numPr>
              <w:spacing w:after="0"/>
              <w:jc w:val="both"/>
              <w:rPr>
                <w:rFonts w:cs="Arial"/>
                <w:sz w:val="20"/>
                <w:szCs w:val="20"/>
                <w:lang w:val="en-GB"/>
              </w:rPr>
            </w:pPr>
            <w:r w:rsidRPr="00CA0CA5">
              <w:rPr>
                <w:rFonts w:cs="Arial"/>
                <w:sz w:val="20"/>
                <w:szCs w:val="20"/>
                <w:lang w:val="en-GB"/>
              </w:rPr>
              <w:t>{MT CC, DU cell} pair and optionally may be indicated to be associated with only {MT CC} if independent of DU cell(s)</w:t>
            </w:r>
          </w:p>
          <w:p w14:paraId="4F4FE510" w14:textId="77777777" w:rsidR="00FB25FA" w:rsidRPr="00CA0CA5" w:rsidRDefault="00FB25FA" w:rsidP="003B2295">
            <w:pPr>
              <w:numPr>
                <w:ilvl w:val="0"/>
                <w:numId w:val="26"/>
              </w:numPr>
              <w:spacing w:after="0"/>
              <w:jc w:val="both"/>
              <w:rPr>
                <w:rFonts w:cs="Arial"/>
                <w:sz w:val="20"/>
                <w:szCs w:val="20"/>
                <w:lang w:val="en-GB"/>
              </w:rPr>
            </w:pPr>
            <w:r w:rsidRPr="00CA0CA5">
              <w:rPr>
                <w:rFonts w:cs="Arial"/>
                <w:sz w:val="20"/>
                <w:szCs w:val="20"/>
                <w:lang w:val="en-GB"/>
              </w:rPr>
              <w:t>Multiplexing mode info (</w:t>
            </w:r>
            <w:proofErr w:type="gramStart"/>
            <w:r w:rsidRPr="00CA0CA5">
              <w:rPr>
                <w:rFonts w:cs="Arial"/>
                <w:sz w:val="20"/>
                <w:szCs w:val="20"/>
                <w:lang w:val="en-GB"/>
              </w:rPr>
              <w:t>i.e.</w:t>
            </w:r>
            <w:proofErr w:type="gramEnd"/>
            <w:r w:rsidRPr="00CA0CA5">
              <w:rPr>
                <w:rFonts w:cs="Arial"/>
                <w:sz w:val="20"/>
                <w:szCs w:val="20"/>
                <w:lang w:val="en-GB"/>
              </w:rPr>
              <w:t xml:space="preserve"> multiplexing info in 38.473) and optionally may be indicated to be applicable to non-overlapping frequency resources</w:t>
            </w:r>
          </w:p>
          <w:p w14:paraId="471386C1" w14:textId="77777777" w:rsidR="00FB25FA" w:rsidRPr="00CA0CA5" w:rsidRDefault="00FB25FA" w:rsidP="003B2295">
            <w:pPr>
              <w:numPr>
                <w:ilvl w:val="0"/>
                <w:numId w:val="26"/>
              </w:numPr>
              <w:spacing w:after="0"/>
              <w:jc w:val="both"/>
              <w:rPr>
                <w:rFonts w:cs="Arial"/>
                <w:sz w:val="20"/>
                <w:szCs w:val="20"/>
                <w:lang w:val="sv-SE"/>
              </w:rPr>
            </w:pPr>
            <w:r w:rsidRPr="00CA0CA5">
              <w:rPr>
                <w:rFonts w:cs="Arial"/>
                <w:sz w:val="20"/>
                <w:szCs w:val="20"/>
                <w:lang w:val="sv-SE"/>
              </w:rPr>
              <w:t>Slot index </w:t>
            </w:r>
          </w:p>
          <w:p w14:paraId="63A5DB52" w14:textId="3B77429F" w:rsidR="00BC21DD" w:rsidRPr="00BC21DD" w:rsidRDefault="00BC21DD" w:rsidP="003B2295">
            <w:pPr>
              <w:spacing w:after="0"/>
              <w:jc w:val="both"/>
              <w:rPr>
                <w:rFonts w:cs="Arial"/>
                <w:sz w:val="20"/>
                <w:szCs w:val="20"/>
                <w:lang w:val="en-GB"/>
              </w:rPr>
            </w:pPr>
          </w:p>
        </w:tc>
      </w:tr>
    </w:tbl>
    <w:p w14:paraId="51902371" w14:textId="70B85397" w:rsidR="009A6063" w:rsidRPr="00087AB3" w:rsidRDefault="009A6063" w:rsidP="003B2295">
      <w:pPr>
        <w:spacing w:before="240"/>
        <w:jc w:val="both"/>
        <w:rPr>
          <w:rStyle w:val="IvDbodytextChar"/>
          <w:sz w:val="20"/>
          <w:szCs w:val="20"/>
        </w:rPr>
      </w:pPr>
      <w:r w:rsidRPr="00087AB3">
        <w:rPr>
          <w:rFonts w:cs="Arial"/>
          <w:szCs w:val="20"/>
        </w:rPr>
        <w:t>For transmission/reception directions (i.e., beams) where the IAB-MT and IAB-DU can use the same time- and frequency-domain resources</w:t>
      </w:r>
      <w:r w:rsidR="00B129FF">
        <w:rPr>
          <w:rFonts w:cs="Arial"/>
          <w:szCs w:val="20"/>
        </w:rPr>
        <w:t xml:space="preserve">, </w:t>
      </w:r>
      <w:r w:rsidRPr="00087AB3">
        <w:rPr>
          <w:rFonts w:cs="Arial"/>
          <w:szCs w:val="20"/>
        </w:rPr>
        <w:t xml:space="preserve">i.e., capable of SDM, the Rel-16 time-domain H/S mechanism is not needed due to the space-domain orthogonality. </w:t>
      </w:r>
      <w:r w:rsidRPr="00087AB3">
        <w:t xml:space="preserve">As pointed out in Section </w:t>
      </w:r>
      <w:r w:rsidRPr="00087AB3">
        <w:fldChar w:fldCharType="begin"/>
      </w:r>
      <w:r w:rsidRPr="00087AB3">
        <w:instrText xml:space="preserve"> REF _Ref58590315 \r \h </w:instrText>
      </w:r>
      <w:r w:rsidR="006F3B67" w:rsidRPr="00087AB3">
        <w:instrText xml:space="preserve"> \* MERGEFORMAT </w:instrText>
      </w:r>
      <w:r w:rsidRPr="00087AB3">
        <w:fldChar w:fldCharType="separate"/>
      </w:r>
      <w:r w:rsidR="003B2295">
        <w:t>1.1.1</w:t>
      </w:r>
      <w:r w:rsidRPr="00087AB3">
        <w:fldChar w:fldCharType="end"/>
      </w:r>
      <w:r w:rsidRPr="00087AB3">
        <w:t xml:space="preserve">, H/S/NA resource configuration was agreed to be extended to the frequency domain. Considering the Rel-16 H/S/NA resource configurations, a </w:t>
      </w:r>
      <w:r w:rsidRPr="00087AB3">
        <w:rPr>
          <w:i/>
        </w:rPr>
        <w:t>Hard</w:t>
      </w:r>
      <w:r w:rsidRPr="00087AB3">
        <w:t xml:space="preserve"> configuration implies that </w:t>
      </w:r>
      <w:r w:rsidRPr="00087AB3">
        <w:rPr>
          <w:rStyle w:val="IvDbodytextChar"/>
          <w:sz w:val="20"/>
          <w:szCs w:val="20"/>
        </w:rPr>
        <w:t xml:space="preserve">the IAB-DU cell </w:t>
      </w:r>
      <w:r w:rsidRPr="00B129FF">
        <w:rPr>
          <w:rStyle w:val="IvDbodytextChar"/>
          <w:i/>
          <w:sz w:val="20"/>
          <w:szCs w:val="20"/>
        </w:rPr>
        <w:t>unconditionally</w:t>
      </w:r>
      <w:r w:rsidRPr="00087AB3">
        <w:rPr>
          <w:rStyle w:val="IvDbodytextChar"/>
          <w:sz w:val="20"/>
          <w:szCs w:val="20"/>
        </w:rPr>
        <w:t xml:space="preserve"> can use a symbol (i.e., the IAB-MT is not required to </w:t>
      </w:r>
      <w:r w:rsidR="00D37A15" w:rsidRPr="00087AB3">
        <w:t>be available for operation</w:t>
      </w:r>
      <w:r w:rsidRPr="00087AB3">
        <w:rPr>
          <w:rStyle w:val="IvDbodytextChar"/>
          <w:sz w:val="20"/>
          <w:szCs w:val="20"/>
        </w:rPr>
        <w:t xml:space="preserve">), </w:t>
      </w:r>
      <w:r w:rsidRPr="00087AB3">
        <w:rPr>
          <w:rStyle w:val="IvDbodytextChar"/>
          <w:i/>
          <w:sz w:val="20"/>
          <w:szCs w:val="20"/>
        </w:rPr>
        <w:t>Soft</w:t>
      </w:r>
      <w:r w:rsidRPr="00087AB3">
        <w:rPr>
          <w:rStyle w:val="IvDbodytextChar"/>
          <w:sz w:val="20"/>
          <w:szCs w:val="20"/>
        </w:rPr>
        <w:t xml:space="preserve">, that the IAB-DU cell </w:t>
      </w:r>
      <w:r w:rsidRPr="00B129FF">
        <w:rPr>
          <w:rStyle w:val="IvDbodytextChar"/>
          <w:i/>
          <w:sz w:val="20"/>
          <w:szCs w:val="20"/>
        </w:rPr>
        <w:t>conditionally</w:t>
      </w:r>
      <w:r w:rsidRPr="00087AB3">
        <w:rPr>
          <w:rStyle w:val="IvDbodytextChar"/>
          <w:sz w:val="20"/>
          <w:szCs w:val="20"/>
        </w:rPr>
        <w:t xml:space="preserve"> can use the symbol and </w:t>
      </w:r>
      <w:r w:rsidRPr="00087AB3">
        <w:rPr>
          <w:rStyle w:val="IvDbodytextChar"/>
          <w:i/>
          <w:sz w:val="20"/>
          <w:szCs w:val="20"/>
        </w:rPr>
        <w:t>Not Available</w:t>
      </w:r>
      <w:r w:rsidRPr="00087AB3">
        <w:rPr>
          <w:rStyle w:val="IvDbodytextChar"/>
          <w:sz w:val="20"/>
          <w:szCs w:val="20"/>
        </w:rPr>
        <w:t xml:space="preserve"> </w:t>
      </w:r>
      <w:r w:rsidRPr="00087AB3">
        <w:rPr>
          <w:rStyle w:val="IvDbodytextChar"/>
          <w:sz w:val="20"/>
          <w:szCs w:val="20"/>
        </w:rPr>
        <w:lastRenderedPageBreak/>
        <w:t xml:space="preserve">that the IAB-DU cannot use the symbol at all. Generalizing these </w:t>
      </w:r>
      <w:r w:rsidR="004D1DF4">
        <w:rPr>
          <w:rStyle w:val="IvDbodytextChar"/>
          <w:sz w:val="20"/>
          <w:szCs w:val="20"/>
        </w:rPr>
        <w:t>conditions</w:t>
      </w:r>
      <w:r w:rsidRPr="00087AB3">
        <w:rPr>
          <w:rStyle w:val="IvDbodytextChar"/>
          <w:sz w:val="20"/>
          <w:szCs w:val="20"/>
        </w:rPr>
        <w:t xml:space="preserve"> to both time and frequency domain implies that the IAB-DU and IAB-MT may only simultaneously operate in </w:t>
      </w:r>
      <w:r w:rsidR="004D1DF4">
        <w:rPr>
          <w:rStyle w:val="IvDbodytextChar"/>
          <w:sz w:val="20"/>
          <w:szCs w:val="20"/>
        </w:rPr>
        <w:t>SDM</w:t>
      </w:r>
      <w:r w:rsidRPr="00087AB3">
        <w:rPr>
          <w:rStyle w:val="IvDbodytextChar"/>
          <w:sz w:val="20"/>
          <w:szCs w:val="20"/>
        </w:rPr>
        <w:t xml:space="preserve"> in Soft (time and/or frequency) </w:t>
      </w:r>
      <w:r w:rsidRPr="00D140D4">
        <w:rPr>
          <w:rStyle w:val="IvDbodytextChar"/>
          <w:sz w:val="20"/>
          <w:szCs w:val="20"/>
        </w:rPr>
        <w:t>resources</w:t>
      </w:r>
      <w:r w:rsidRPr="00087AB3">
        <w:rPr>
          <w:rStyle w:val="IvDbodytextChar"/>
          <w:sz w:val="20"/>
          <w:szCs w:val="20"/>
        </w:rPr>
        <w:t xml:space="preserve">. For an </w:t>
      </w:r>
      <w:r w:rsidR="00F573B6">
        <w:rPr>
          <w:rStyle w:val="IvDbodytextChar"/>
          <w:sz w:val="20"/>
          <w:szCs w:val="20"/>
        </w:rPr>
        <w:t>IAB-node</w:t>
      </w:r>
      <w:r w:rsidRPr="00087AB3">
        <w:rPr>
          <w:rStyle w:val="IvDbodytextChar"/>
          <w:sz w:val="20"/>
          <w:szCs w:val="20"/>
        </w:rPr>
        <w:t xml:space="preserve"> configured to operate in SDM, Soft resources may be available for space domain simultaneous operation through implicit indication, considering the newly adopted soft resource specification, that the IAB-DU can use a resource provided</w:t>
      </w:r>
    </w:p>
    <w:p w14:paraId="21AC7746" w14:textId="77777777" w:rsidR="009A6063" w:rsidRPr="00087AB3" w:rsidRDefault="009A6063" w:rsidP="003B2295">
      <w:pPr>
        <w:pStyle w:val="BodyText"/>
        <w:ind w:left="567"/>
        <w:rPr>
          <w:rStyle w:val="IvDbodytextChar"/>
          <w:sz w:val="20"/>
          <w:lang w:eastAsia="en-US"/>
        </w:rPr>
      </w:pPr>
      <w:r w:rsidRPr="00087AB3">
        <w:rPr>
          <w:rStyle w:val="IvDbodytextChar"/>
          <w:i/>
          <w:sz w:val="20"/>
        </w:rPr>
        <w:t>the IAB-MT would transmit or receive in the symbol, and the transmission or reception in the symbol is not changed due to a use of the symbol by the IAB-DU</w:t>
      </w:r>
      <w:r w:rsidRPr="00087AB3">
        <w:rPr>
          <w:rStyle w:val="IvDbodytextChar"/>
          <w:sz w:val="20"/>
        </w:rPr>
        <w:t>.</w:t>
      </w:r>
    </w:p>
    <w:p w14:paraId="70688E5F" w14:textId="43963CD1" w:rsidR="009A6063" w:rsidRPr="00087AB3" w:rsidRDefault="009A6063" w:rsidP="003B2295">
      <w:pPr>
        <w:pStyle w:val="BodyText"/>
        <w:rPr>
          <w:rStyle w:val="IvDbodytextChar"/>
          <w:sz w:val="20"/>
        </w:rPr>
      </w:pPr>
      <w:r w:rsidRPr="00087AB3">
        <w:rPr>
          <w:rStyle w:val="IvDbodytextChar"/>
          <w:sz w:val="20"/>
        </w:rPr>
        <w:t xml:space="preserve">This definition is also in line with our above assumed definition of implicit indication of frequency-domain </w:t>
      </w:r>
      <w:proofErr w:type="gramStart"/>
      <w:r w:rsidRPr="00087AB3">
        <w:rPr>
          <w:rStyle w:val="IvDbodytextChar"/>
          <w:sz w:val="20"/>
        </w:rPr>
        <w:t>Soft</w:t>
      </w:r>
      <w:proofErr w:type="gramEnd"/>
      <w:r w:rsidRPr="00087AB3">
        <w:rPr>
          <w:rStyle w:val="IvDbodytextChar"/>
          <w:sz w:val="20"/>
        </w:rPr>
        <w:t xml:space="preserve"> resources</w:t>
      </w:r>
      <w:r w:rsidR="00955D96" w:rsidRPr="00087AB3">
        <w:rPr>
          <w:rStyle w:val="IvDbodytextChar"/>
          <w:sz w:val="20"/>
        </w:rPr>
        <w:t xml:space="preserve"> (Section </w:t>
      </w:r>
      <w:r w:rsidR="00955D96" w:rsidRPr="00087AB3">
        <w:rPr>
          <w:rStyle w:val="IvDbodytextChar"/>
          <w:sz w:val="20"/>
        </w:rPr>
        <w:fldChar w:fldCharType="begin"/>
      </w:r>
      <w:r w:rsidR="00955D96" w:rsidRPr="00087AB3">
        <w:rPr>
          <w:rStyle w:val="IvDbodytextChar"/>
          <w:sz w:val="20"/>
        </w:rPr>
        <w:instrText xml:space="preserve"> REF _Ref58590315 \w \h </w:instrText>
      </w:r>
      <w:r w:rsidR="00AA3979" w:rsidRPr="00087AB3">
        <w:rPr>
          <w:rStyle w:val="IvDbodytextChar"/>
          <w:sz w:val="20"/>
        </w:rPr>
        <w:instrText xml:space="preserve"> \* MERGEFORMAT </w:instrText>
      </w:r>
      <w:r w:rsidR="00955D96" w:rsidRPr="00087AB3">
        <w:rPr>
          <w:rStyle w:val="IvDbodytextChar"/>
          <w:sz w:val="20"/>
        </w:rPr>
      </w:r>
      <w:r w:rsidR="00955D96" w:rsidRPr="00087AB3">
        <w:rPr>
          <w:rStyle w:val="IvDbodytextChar"/>
          <w:sz w:val="20"/>
        </w:rPr>
        <w:fldChar w:fldCharType="separate"/>
      </w:r>
      <w:r w:rsidR="003B2295">
        <w:rPr>
          <w:rStyle w:val="IvDbodytextChar"/>
          <w:sz w:val="20"/>
        </w:rPr>
        <w:t>1.1.1</w:t>
      </w:r>
      <w:r w:rsidR="00955D96" w:rsidRPr="00087AB3">
        <w:rPr>
          <w:rStyle w:val="IvDbodytextChar"/>
          <w:sz w:val="20"/>
        </w:rPr>
        <w:fldChar w:fldCharType="end"/>
      </w:r>
      <w:r w:rsidR="00955D96" w:rsidRPr="00087AB3">
        <w:rPr>
          <w:rStyle w:val="IvDbodytextChar"/>
          <w:sz w:val="20"/>
        </w:rPr>
        <w:t>)</w:t>
      </w:r>
      <w:r w:rsidRPr="00087AB3">
        <w:rPr>
          <w:rStyle w:val="IvDbodytextChar"/>
          <w:sz w:val="20"/>
        </w:rPr>
        <w:t>,</w:t>
      </w:r>
    </w:p>
    <w:p w14:paraId="762AB976" w14:textId="5AC72DD9" w:rsidR="009A6063" w:rsidRPr="00087AB3" w:rsidRDefault="009A6063" w:rsidP="003B2295">
      <w:pPr>
        <w:pStyle w:val="BodyText"/>
        <w:ind w:left="567"/>
        <w:rPr>
          <w:rFonts w:cs="Arial"/>
          <w:i/>
          <w:szCs w:val="20"/>
        </w:rPr>
      </w:pPr>
      <w:r w:rsidRPr="00087AB3">
        <w:rPr>
          <w:rFonts w:cs="Arial"/>
          <w:b/>
          <w:i/>
          <w:szCs w:val="20"/>
        </w:rPr>
        <w:t xml:space="preserve">For frequency-domain </w:t>
      </w:r>
      <w:proofErr w:type="gramStart"/>
      <w:r w:rsidRPr="00087AB3">
        <w:rPr>
          <w:rFonts w:cs="Arial"/>
          <w:b/>
          <w:i/>
          <w:szCs w:val="20"/>
        </w:rPr>
        <w:t>Soft</w:t>
      </w:r>
      <w:proofErr w:type="gramEnd"/>
      <w:r w:rsidRPr="00087AB3">
        <w:rPr>
          <w:rFonts w:cs="Arial"/>
          <w:b/>
          <w:i/>
          <w:szCs w:val="20"/>
        </w:rPr>
        <w:t xml:space="preserve"> resource:</w:t>
      </w:r>
      <w:r w:rsidRPr="00087AB3">
        <w:rPr>
          <w:rFonts w:cs="Arial"/>
          <w:i/>
          <w:szCs w:val="20"/>
        </w:rPr>
        <w:t xml:space="preserve"> the IAB-DU can use the resource only if it does not impact the MT’s actual ability to transmit and receive in any resource (i.e., both the same RB</w:t>
      </w:r>
      <w:r w:rsidR="00BE46A7" w:rsidRPr="00087AB3">
        <w:rPr>
          <w:rFonts w:cs="Arial"/>
          <w:i/>
          <w:szCs w:val="20"/>
        </w:rPr>
        <w:t>-</w:t>
      </w:r>
      <w:r w:rsidR="00E9437C" w:rsidRPr="00087AB3">
        <w:rPr>
          <w:rFonts w:cs="Arial"/>
          <w:i/>
          <w:szCs w:val="20"/>
        </w:rPr>
        <w:t>Set</w:t>
      </w:r>
      <w:r w:rsidRPr="00087AB3">
        <w:rPr>
          <w:rFonts w:cs="Arial"/>
          <w:i/>
          <w:szCs w:val="20"/>
        </w:rPr>
        <w:t xml:space="preserve"> and other RB</w:t>
      </w:r>
      <w:r w:rsidR="00BE46A7" w:rsidRPr="00087AB3">
        <w:rPr>
          <w:rFonts w:cs="Arial"/>
          <w:i/>
          <w:szCs w:val="20"/>
        </w:rPr>
        <w:t>-</w:t>
      </w:r>
      <w:r w:rsidR="00E9437C" w:rsidRPr="00087AB3">
        <w:rPr>
          <w:rFonts w:cs="Arial"/>
          <w:i/>
          <w:szCs w:val="20"/>
        </w:rPr>
        <w:t>Set</w:t>
      </w:r>
      <w:r w:rsidRPr="00087AB3">
        <w:rPr>
          <w:rFonts w:cs="Arial"/>
          <w:i/>
          <w:szCs w:val="20"/>
        </w:rPr>
        <w:t>s).</w:t>
      </w:r>
    </w:p>
    <w:p w14:paraId="18A2D6CA" w14:textId="23669C7F" w:rsidR="00A91F71" w:rsidRPr="00514BDE" w:rsidRDefault="00A916F8" w:rsidP="003B2295">
      <w:pPr>
        <w:pStyle w:val="Proposal"/>
        <w:tabs>
          <w:tab w:val="clear" w:pos="1872"/>
        </w:tabs>
        <w:ind w:left="1304"/>
        <w:rPr>
          <w:rStyle w:val="IvDbodytextChar"/>
          <w:rFonts w:eastAsiaTheme="minorHAnsi" w:cstheme="minorBidi"/>
          <w:spacing w:val="0"/>
          <w:sz w:val="20"/>
          <w:lang w:eastAsia="ja-JP"/>
        </w:rPr>
      </w:pPr>
      <w:bookmarkStart w:id="58" w:name="_Toc95772016"/>
      <w:r>
        <w:t xml:space="preserve">RAN1 </w:t>
      </w:r>
      <w:r w:rsidR="00CB349E">
        <w:t>to</w:t>
      </w:r>
      <w:r>
        <w:t xml:space="preserve"> clarify that </w:t>
      </w:r>
      <w:r w:rsidR="00822372" w:rsidRPr="00A705E9">
        <w:t xml:space="preserve">SDM, </w:t>
      </w:r>
      <w:r w:rsidR="00822372">
        <w:t>including</w:t>
      </w:r>
      <w:r w:rsidR="00822372" w:rsidRPr="00A705E9">
        <w:t xml:space="preserve"> beam restrictions/recommendations</w:t>
      </w:r>
      <w:r w:rsidR="00822372">
        <w:t>,</w:t>
      </w:r>
      <w:r w:rsidR="00822372" w:rsidRPr="00A705E9">
        <w:t xml:space="preserve"> </w:t>
      </w:r>
      <w:r w:rsidR="00822372">
        <w:t>is</w:t>
      </w:r>
      <w:r w:rsidR="00822372" w:rsidRPr="00A705E9">
        <w:t xml:space="preserve"> restricted to </w:t>
      </w:r>
      <w:proofErr w:type="gramStart"/>
      <w:r w:rsidR="00822372" w:rsidRPr="00A705E9">
        <w:t>Soft</w:t>
      </w:r>
      <w:proofErr w:type="gramEnd"/>
      <w:r w:rsidR="00822372" w:rsidRPr="00A705E9">
        <w:t xml:space="preserve"> resources</w:t>
      </w:r>
      <w:r w:rsidR="00822372" w:rsidRPr="00086F91">
        <w:rPr>
          <w:lang w:eastAsia="ja-JP"/>
        </w:rPr>
        <w:t>.</w:t>
      </w:r>
      <w:bookmarkStart w:id="59" w:name="_Hlk75641102"/>
      <w:bookmarkEnd w:id="58"/>
    </w:p>
    <w:p w14:paraId="29EF19B6" w14:textId="0E575A44" w:rsidR="00E86A38" w:rsidRDefault="00E86A38" w:rsidP="003B2295">
      <w:pPr>
        <w:pStyle w:val="Heading2"/>
        <w:jc w:val="both"/>
        <w:rPr>
          <w:lang w:val="en-US"/>
        </w:rPr>
      </w:pPr>
      <w:bookmarkStart w:id="60" w:name="_Ref68176278"/>
      <w:bookmarkEnd w:id="59"/>
      <w:r w:rsidRPr="00087AB3">
        <w:rPr>
          <w:lang w:val="en-US"/>
        </w:rPr>
        <w:t>Guard symbols for IAB-MT and IAB-DU resource misalignment</w:t>
      </w:r>
      <w:bookmarkEnd w:id="60"/>
    </w:p>
    <w:p w14:paraId="297F7BD5" w14:textId="48DE801B" w:rsidR="00A8063D" w:rsidRPr="00087AB3" w:rsidRDefault="00A8063D" w:rsidP="003B2295">
      <w:pPr>
        <w:jc w:val="both"/>
        <w:rPr>
          <w:rFonts w:cs="Arial"/>
          <w:szCs w:val="20"/>
        </w:rPr>
      </w:pPr>
      <w:r w:rsidRPr="00087AB3">
        <w:rPr>
          <w:rFonts w:cs="Arial"/>
          <w:szCs w:val="20"/>
        </w:rPr>
        <w:t>In RAN1#10</w:t>
      </w:r>
      <w:r w:rsidR="00FB25FA">
        <w:rPr>
          <w:rFonts w:cs="Arial"/>
          <w:szCs w:val="20"/>
        </w:rPr>
        <w:t>7</w:t>
      </w:r>
      <w:r w:rsidR="00325ACC">
        <w:rPr>
          <w:rFonts w:cs="Arial"/>
          <w:szCs w:val="20"/>
        </w:rPr>
        <w:t>-</w:t>
      </w:r>
      <w:r w:rsidRPr="00087AB3">
        <w:rPr>
          <w:rFonts w:cs="Arial"/>
          <w:szCs w:val="20"/>
        </w:rPr>
        <w:t>e, the following objectives of multiplexing capability signaling were agreed</w:t>
      </w:r>
      <w:r w:rsidR="000F4F50">
        <w:rPr>
          <w:rFonts w:cs="Arial"/>
          <w:szCs w:val="20"/>
        </w:rPr>
        <w:t xml:space="preserve"> </w:t>
      </w:r>
      <w:r w:rsidR="000F4F50">
        <w:rPr>
          <w:rFonts w:cs="Arial"/>
          <w:szCs w:val="20"/>
        </w:rPr>
        <w:fldChar w:fldCharType="begin"/>
      </w:r>
      <w:r w:rsidR="000F4F50">
        <w:rPr>
          <w:rFonts w:cs="Arial"/>
          <w:szCs w:val="20"/>
        </w:rPr>
        <w:instrText xml:space="preserve"> REF _Ref85313944 \r \h </w:instrText>
      </w:r>
      <w:r w:rsidR="000F4F50">
        <w:rPr>
          <w:rFonts w:cs="Arial"/>
          <w:szCs w:val="20"/>
        </w:rPr>
      </w:r>
      <w:r w:rsidR="009C54D2">
        <w:rPr>
          <w:rFonts w:cs="Arial"/>
          <w:szCs w:val="20"/>
        </w:rPr>
        <w:instrText xml:space="preserve"> \* MERGEFORMAT </w:instrText>
      </w:r>
      <w:r w:rsidR="000F4F50">
        <w:rPr>
          <w:rFonts w:cs="Arial"/>
          <w:szCs w:val="20"/>
        </w:rPr>
        <w:fldChar w:fldCharType="separate"/>
      </w:r>
      <w:r w:rsidR="003B2295">
        <w:rPr>
          <w:rFonts w:cs="Arial"/>
          <w:szCs w:val="20"/>
        </w:rPr>
        <w:t>[2]</w:t>
      </w:r>
      <w:r w:rsidR="000F4F50">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A8063D" w:rsidRPr="00087AB3" w14:paraId="67FE79AE" w14:textId="77777777" w:rsidTr="00A67EBE">
        <w:tc>
          <w:tcPr>
            <w:tcW w:w="9629" w:type="dxa"/>
          </w:tcPr>
          <w:p w14:paraId="64B412EA" w14:textId="238E8887" w:rsidR="008569A9" w:rsidRPr="00CA0CA5" w:rsidRDefault="008569A9" w:rsidP="003B2295">
            <w:pPr>
              <w:jc w:val="both"/>
              <w:rPr>
                <w:rFonts w:cs="Times"/>
                <w:b/>
                <w:sz w:val="20"/>
                <w:szCs w:val="20"/>
                <w:highlight w:val="green"/>
              </w:rPr>
            </w:pPr>
            <w:r w:rsidRPr="00CA0CA5">
              <w:rPr>
                <w:rFonts w:cs="Times"/>
                <w:b/>
                <w:sz w:val="20"/>
                <w:szCs w:val="20"/>
                <w:highlight w:val="green"/>
              </w:rPr>
              <w:t>Agreement</w:t>
            </w:r>
            <w:r w:rsidR="00CA0CA5" w:rsidRPr="00CA0CA5">
              <w:rPr>
                <w:rFonts w:cs="Times"/>
                <w:b/>
                <w:sz w:val="20"/>
                <w:szCs w:val="20"/>
                <w:highlight w:val="green"/>
              </w:rPr>
              <w:t>:</w:t>
            </w:r>
          </w:p>
          <w:p w14:paraId="0D241E54" w14:textId="77777777" w:rsidR="00FB25FA" w:rsidRPr="00CA0CA5" w:rsidRDefault="00FB25FA" w:rsidP="003B2295">
            <w:pPr>
              <w:spacing w:after="0" w:line="240" w:lineRule="auto"/>
              <w:jc w:val="both"/>
              <w:rPr>
                <w:rFonts w:cs="Arial"/>
                <w:sz w:val="20"/>
                <w:szCs w:val="20"/>
                <w:lang w:val="en-GB"/>
              </w:rPr>
            </w:pPr>
            <w:r w:rsidRPr="00CA0CA5">
              <w:rPr>
                <w:rFonts w:cs="Arial"/>
                <w:sz w:val="20"/>
                <w:szCs w:val="20"/>
                <w:lang w:val="en-GB"/>
              </w:rPr>
              <w:t>The following RAN1#106bis-e agreement is updated.</w:t>
            </w:r>
          </w:p>
          <w:p w14:paraId="3DAC3DEE" w14:textId="77777777" w:rsidR="00FB25FA" w:rsidRPr="00CA0CA5" w:rsidRDefault="00FB25FA" w:rsidP="003B2295">
            <w:pPr>
              <w:spacing w:after="0" w:line="240" w:lineRule="auto"/>
              <w:jc w:val="both"/>
              <w:rPr>
                <w:rFonts w:cs="Arial"/>
                <w:sz w:val="20"/>
                <w:szCs w:val="20"/>
                <w:lang w:val="en-GB"/>
              </w:rPr>
            </w:pPr>
            <w:r w:rsidRPr="00CA0CA5">
              <w:rPr>
                <w:rFonts w:cs="Arial"/>
                <w:sz w:val="20"/>
                <w:szCs w:val="20"/>
                <w:lang w:val="en-GB"/>
              </w:rPr>
              <w:t xml:space="preserve">The MAC-CE </w:t>
            </w:r>
            <w:proofErr w:type="spellStart"/>
            <w:r w:rsidRPr="00CA0CA5">
              <w:rPr>
                <w:rFonts w:cs="Arial"/>
                <w:sz w:val="20"/>
                <w:szCs w:val="20"/>
                <w:lang w:val="en-GB"/>
              </w:rPr>
              <w:t>signaling</w:t>
            </w:r>
            <w:proofErr w:type="spellEnd"/>
            <w:r w:rsidRPr="00CA0CA5">
              <w:rPr>
                <w:rFonts w:cs="Arial"/>
                <w:sz w:val="20"/>
                <w:szCs w:val="20"/>
                <w:lang w:val="en-GB"/>
              </w:rPr>
              <w:t xml:space="preserve"> of Desired/Provided Guard Symbols is enhanced to optionally indicate the number of guard symbols required for switching between at least the following cases:</w:t>
            </w:r>
          </w:p>
          <w:p w14:paraId="13D09CE5" w14:textId="77777777" w:rsidR="00FB25FA" w:rsidRPr="00CA0CA5" w:rsidRDefault="00FB25FA" w:rsidP="003B2295">
            <w:pPr>
              <w:numPr>
                <w:ilvl w:val="0"/>
                <w:numId w:val="23"/>
              </w:numPr>
              <w:tabs>
                <w:tab w:val="left" w:pos="720"/>
              </w:tabs>
              <w:spacing w:after="0" w:line="240" w:lineRule="auto"/>
              <w:jc w:val="both"/>
              <w:rPr>
                <w:rFonts w:cs="Arial"/>
                <w:strike/>
                <w:sz w:val="20"/>
                <w:szCs w:val="20"/>
                <w:lang w:val="en-GB"/>
              </w:rPr>
            </w:pPr>
            <w:r w:rsidRPr="00CA0CA5">
              <w:rPr>
                <w:rFonts w:cs="Arial"/>
                <w:strike/>
                <w:sz w:val="20"/>
                <w:szCs w:val="20"/>
                <w:lang w:val="en-GB"/>
              </w:rPr>
              <w:t>Case#6 MT Tx and [Case #7] DU [Tx]/Rx</w:t>
            </w:r>
          </w:p>
          <w:p w14:paraId="451FB0F8" w14:textId="77777777" w:rsidR="00FB25FA" w:rsidRPr="00CA0CA5" w:rsidRDefault="00FB25FA" w:rsidP="003B2295">
            <w:pPr>
              <w:numPr>
                <w:ilvl w:val="0"/>
                <w:numId w:val="23"/>
              </w:numPr>
              <w:tabs>
                <w:tab w:val="left" w:pos="720"/>
              </w:tabs>
              <w:spacing w:after="0" w:line="240" w:lineRule="auto"/>
              <w:jc w:val="both"/>
              <w:rPr>
                <w:rFonts w:cs="Arial"/>
                <w:strike/>
                <w:sz w:val="20"/>
                <w:szCs w:val="20"/>
                <w:lang w:val="en-GB"/>
              </w:rPr>
            </w:pPr>
            <w:r w:rsidRPr="00CA0CA5">
              <w:rPr>
                <w:rFonts w:cs="Arial"/>
                <w:strike/>
                <w:sz w:val="20"/>
                <w:szCs w:val="20"/>
                <w:lang w:val="en-GB"/>
              </w:rPr>
              <w:t>Case#7 MT Tx (to support Case #7 at parent node) and DU Tx/Rx</w:t>
            </w:r>
          </w:p>
          <w:p w14:paraId="6BD4E146" w14:textId="77777777" w:rsidR="00FB25FA" w:rsidRPr="00CA0CA5" w:rsidRDefault="00FB25FA" w:rsidP="003B2295">
            <w:pPr>
              <w:numPr>
                <w:ilvl w:val="0"/>
                <w:numId w:val="23"/>
              </w:numPr>
              <w:tabs>
                <w:tab w:val="left" w:pos="720"/>
              </w:tabs>
              <w:spacing w:after="0" w:line="240" w:lineRule="auto"/>
              <w:jc w:val="both"/>
              <w:rPr>
                <w:rFonts w:cs="Arial"/>
                <w:sz w:val="20"/>
                <w:szCs w:val="20"/>
                <w:lang w:val="en-GB"/>
              </w:rPr>
            </w:pPr>
            <w:r w:rsidRPr="00CA0CA5">
              <w:rPr>
                <w:rFonts w:cs="Arial"/>
                <w:sz w:val="20"/>
                <w:szCs w:val="20"/>
                <w:lang w:val="en-GB"/>
              </w:rPr>
              <w:t>A: Case #6 MT TX to/from Case #1 DU RX</w:t>
            </w:r>
          </w:p>
          <w:p w14:paraId="60D329B2" w14:textId="77777777" w:rsidR="00FB25FA" w:rsidRPr="00CA0CA5" w:rsidRDefault="00FB25FA" w:rsidP="003B2295">
            <w:pPr>
              <w:numPr>
                <w:ilvl w:val="0"/>
                <w:numId w:val="23"/>
              </w:numPr>
              <w:tabs>
                <w:tab w:val="left" w:pos="720"/>
              </w:tabs>
              <w:spacing w:after="0" w:line="240" w:lineRule="auto"/>
              <w:jc w:val="both"/>
              <w:rPr>
                <w:rFonts w:cs="Arial"/>
                <w:sz w:val="20"/>
                <w:szCs w:val="20"/>
                <w:lang w:val="en-GB"/>
              </w:rPr>
            </w:pPr>
            <w:r w:rsidRPr="00CA0CA5">
              <w:rPr>
                <w:rFonts w:cs="Arial"/>
                <w:sz w:val="20"/>
                <w:szCs w:val="20"/>
                <w:lang w:val="en-GB"/>
              </w:rPr>
              <w:t>D: Case #7 MT TX (to support Case #7 at parent node) to/from Case #1 DU RX</w:t>
            </w:r>
          </w:p>
          <w:p w14:paraId="1FF387D4" w14:textId="77777777" w:rsidR="00FB25FA" w:rsidRPr="00CA0CA5" w:rsidRDefault="00FB25FA" w:rsidP="003B2295">
            <w:pPr>
              <w:numPr>
                <w:ilvl w:val="0"/>
                <w:numId w:val="23"/>
              </w:numPr>
              <w:tabs>
                <w:tab w:val="left" w:pos="720"/>
              </w:tabs>
              <w:spacing w:after="0" w:line="240" w:lineRule="auto"/>
              <w:jc w:val="both"/>
              <w:rPr>
                <w:rFonts w:cs="Arial"/>
                <w:sz w:val="20"/>
                <w:szCs w:val="20"/>
                <w:lang w:val="en-GB"/>
              </w:rPr>
            </w:pPr>
            <w:r w:rsidRPr="00CA0CA5">
              <w:rPr>
                <w:rFonts w:cs="Arial"/>
                <w:sz w:val="20"/>
                <w:szCs w:val="20"/>
                <w:lang w:val="en-GB"/>
              </w:rPr>
              <w:t>G: Case #7 MT TX (to support Case #7 at parent node) to/from Case #1 DU TX</w:t>
            </w:r>
          </w:p>
          <w:p w14:paraId="5CAE94A6" w14:textId="77777777" w:rsidR="00FB25FA" w:rsidRPr="00CA0CA5" w:rsidRDefault="00FB25FA" w:rsidP="003B2295">
            <w:pPr>
              <w:numPr>
                <w:ilvl w:val="0"/>
                <w:numId w:val="23"/>
              </w:numPr>
              <w:tabs>
                <w:tab w:val="left" w:pos="720"/>
              </w:tabs>
              <w:spacing w:after="0" w:line="240" w:lineRule="auto"/>
              <w:jc w:val="both"/>
              <w:rPr>
                <w:rFonts w:cs="Arial"/>
                <w:sz w:val="20"/>
                <w:szCs w:val="20"/>
                <w:lang w:val="en-GB"/>
              </w:rPr>
            </w:pPr>
            <w:r w:rsidRPr="00CA0CA5">
              <w:rPr>
                <w:rFonts w:cs="Arial"/>
                <w:sz w:val="20"/>
                <w:szCs w:val="20"/>
                <w:lang w:val="en-GB"/>
              </w:rPr>
              <w:t>(</w:t>
            </w:r>
            <w:r w:rsidRPr="00CA0CA5">
              <w:rPr>
                <w:rFonts w:cs="Arial"/>
                <w:sz w:val="20"/>
                <w:szCs w:val="20"/>
                <w:highlight w:val="darkYellow"/>
                <w:lang w:val="en-GB"/>
              </w:rPr>
              <w:t>Working Assumption</w:t>
            </w:r>
            <w:r w:rsidRPr="00CA0CA5">
              <w:rPr>
                <w:rFonts w:cs="Arial"/>
                <w:sz w:val="20"/>
                <w:szCs w:val="20"/>
                <w:lang w:val="en-GB"/>
              </w:rPr>
              <w:t>) H: Case #6 MT TX to/from Case #1 DU TX</w:t>
            </w:r>
          </w:p>
          <w:p w14:paraId="329A6416" w14:textId="77777777" w:rsidR="00A8063D" w:rsidRPr="00BC21DD" w:rsidRDefault="00A8063D" w:rsidP="003B2295">
            <w:pPr>
              <w:spacing w:after="0" w:line="240" w:lineRule="auto"/>
              <w:jc w:val="both"/>
              <w:rPr>
                <w:rFonts w:cs="Arial"/>
                <w:sz w:val="20"/>
                <w:szCs w:val="20"/>
                <w:lang w:val="en-GB"/>
              </w:rPr>
            </w:pPr>
          </w:p>
        </w:tc>
      </w:tr>
    </w:tbl>
    <w:p w14:paraId="565F20D2" w14:textId="51F73748" w:rsidR="00A8063D" w:rsidRDefault="00A8063D" w:rsidP="003B2295">
      <w:pPr>
        <w:jc w:val="both"/>
        <w:rPr>
          <w:lang w:eastAsia="ja-JP"/>
        </w:rPr>
      </w:pPr>
    </w:p>
    <w:p w14:paraId="1410A67E" w14:textId="5C456E8E" w:rsidR="00272E8A" w:rsidRPr="00A8063D" w:rsidRDefault="00272E8A" w:rsidP="003B2295">
      <w:pPr>
        <w:jc w:val="both"/>
        <w:rPr>
          <w:lang w:eastAsia="ja-JP"/>
        </w:rPr>
      </w:pPr>
      <w:r>
        <w:rPr>
          <w:lang w:eastAsia="ja-JP"/>
        </w:rPr>
        <w:t xml:space="preserve">We think Case H (Case #6 MT TX to/from Case #1 DU TX) should be excluded </w:t>
      </w:r>
      <w:r w:rsidR="0021404A">
        <w:rPr>
          <w:lang w:eastAsia="ja-JP"/>
        </w:rPr>
        <w:t xml:space="preserve">from the list of Rel-17 Desired/Provided Guard Symbols </w:t>
      </w:r>
      <w:r>
        <w:rPr>
          <w:lang w:eastAsia="ja-JP"/>
        </w:rPr>
        <w:t>since timing in Case #6 MT TX corresponds to timing in Case #1 DU TX and can therefore be considered as a continuous Transparent Clock (TC) operation.</w:t>
      </w:r>
    </w:p>
    <w:p w14:paraId="1FC9FC09" w14:textId="3BC20D5F" w:rsidR="004E7728" w:rsidRDefault="00FB25FA" w:rsidP="003B2295">
      <w:pPr>
        <w:pStyle w:val="Proposal"/>
        <w:tabs>
          <w:tab w:val="clear" w:pos="1872"/>
        </w:tabs>
        <w:ind w:left="1304"/>
        <w:rPr>
          <w:lang w:eastAsia="ja-JP"/>
        </w:rPr>
      </w:pPr>
      <w:bookmarkStart w:id="61" w:name="_Toc95772017"/>
      <w:r>
        <w:t>Guard symbols are not needed for Case H: Case #6 MT TX to/from Case #1 DU TX</w:t>
      </w:r>
      <w:r w:rsidRPr="00086F91">
        <w:rPr>
          <w:lang w:eastAsia="ja-JP"/>
        </w:rPr>
        <w:t>.</w:t>
      </w:r>
      <w:bookmarkEnd w:id="61"/>
    </w:p>
    <w:p w14:paraId="7EAAD39E" w14:textId="5DA436AE" w:rsidR="007431DE" w:rsidRDefault="0067286C" w:rsidP="003B2295">
      <w:pPr>
        <w:pStyle w:val="Heading1"/>
        <w:jc w:val="both"/>
      </w:pPr>
      <w:bookmarkStart w:id="62" w:name="_Toc86672082"/>
      <w:bookmarkStart w:id="63" w:name="_Toc86672287"/>
      <w:bookmarkStart w:id="64" w:name="_Toc86672083"/>
      <w:bookmarkStart w:id="65" w:name="_Toc86672288"/>
      <w:bookmarkStart w:id="66" w:name="_Toc86672084"/>
      <w:bookmarkStart w:id="67" w:name="_Toc86672289"/>
      <w:bookmarkStart w:id="68" w:name="_Toc86672085"/>
      <w:bookmarkStart w:id="69" w:name="_Toc86672290"/>
      <w:bookmarkStart w:id="70" w:name="_Toc86672086"/>
      <w:bookmarkStart w:id="71" w:name="_Toc86672291"/>
      <w:bookmarkStart w:id="72" w:name="_Toc86672087"/>
      <w:bookmarkStart w:id="73" w:name="_Toc86672292"/>
      <w:bookmarkStart w:id="74" w:name="_Toc86672088"/>
      <w:bookmarkStart w:id="75" w:name="_Toc86672293"/>
      <w:bookmarkStart w:id="76" w:name="_Toc86672089"/>
      <w:bookmarkStart w:id="77" w:name="_Toc86672294"/>
      <w:bookmarkStart w:id="78" w:name="_Toc86672090"/>
      <w:bookmarkStart w:id="79" w:name="_Toc86672295"/>
      <w:bookmarkStart w:id="80" w:name="_Toc86672091"/>
      <w:bookmarkStart w:id="81" w:name="_Toc86672296"/>
      <w:bookmarkStart w:id="82" w:name="_Toc86672092"/>
      <w:bookmarkStart w:id="83" w:name="_Toc86672297"/>
      <w:bookmarkStart w:id="84" w:name="_Toc86672093"/>
      <w:bookmarkStart w:id="85" w:name="_Toc86672298"/>
      <w:bookmarkStart w:id="86" w:name="_Toc86672094"/>
      <w:bookmarkStart w:id="87" w:name="_Toc86672299"/>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087AB3">
        <w:rPr>
          <w:lang w:val="en-US"/>
        </w:rPr>
        <w:t>Dual Connectivity</w:t>
      </w:r>
    </w:p>
    <w:p w14:paraId="7828534D" w14:textId="35D3D44D" w:rsidR="007301E2" w:rsidRDefault="007301E2" w:rsidP="003B2295">
      <w:pPr>
        <w:pStyle w:val="Heading2"/>
        <w:jc w:val="both"/>
      </w:pPr>
      <w:r>
        <w:t>DC capabilities</w:t>
      </w:r>
    </w:p>
    <w:p w14:paraId="0DF3F653" w14:textId="6EB594C0" w:rsidR="009A6063" w:rsidRPr="00087AB3" w:rsidRDefault="009A6063" w:rsidP="003B2295">
      <w:pPr>
        <w:jc w:val="both"/>
        <w:rPr>
          <w:rFonts w:cs="Arial"/>
          <w:szCs w:val="20"/>
        </w:rPr>
      </w:pPr>
      <w:r w:rsidRPr="00087AB3">
        <w:rPr>
          <w:rFonts w:cs="Arial"/>
          <w:szCs w:val="20"/>
        </w:rPr>
        <w:t>In RAN1 #10</w:t>
      </w:r>
      <w:r w:rsidR="005B09CF" w:rsidRPr="00087AB3">
        <w:rPr>
          <w:rFonts w:cs="Arial"/>
          <w:szCs w:val="20"/>
        </w:rPr>
        <w:t>6</w:t>
      </w:r>
      <w:r w:rsidR="00A8063D">
        <w:rPr>
          <w:rFonts w:cs="Arial"/>
          <w:szCs w:val="20"/>
        </w:rPr>
        <w:t>bis</w:t>
      </w:r>
      <w:r w:rsidRPr="00087AB3">
        <w:rPr>
          <w:rFonts w:cs="Arial"/>
          <w:szCs w:val="20"/>
        </w:rPr>
        <w:t xml:space="preserve">-e, the following </w:t>
      </w:r>
      <w:r w:rsidR="007C6E5D" w:rsidRPr="00087AB3">
        <w:rPr>
          <w:rFonts w:cs="Arial"/>
          <w:szCs w:val="20"/>
        </w:rPr>
        <w:t>agreements</w:t>
      </w:r>
      <w:r w:rsidRPr="00087AB3">
        <w:rPr>
          <w:rFonts w:cs="Arial"/>
          <w:szCs w:val="20"/>
        </w:rPr>
        <w:t xml:space="preserve"> </w:t>
      </w:r>
      <w:r w:rsidR="008314C4">
        <w:rPr>
          <w:rFonts w:cs="Arial"/>
          <w:szCs w:val="20"/>
        </w:rPr>
        <w:t xml:space="preserve">for IAB </w:t>
      </w:r>
      <w:r w:rsidR="005921C9" w:rsidRPr="00087AB3">
        <w:rPr>
          <w:rFonts w:cs="Arial"/>
          <w:szCs w:val="20"/>
        </w:rPr>
        <w:t>were made regarding</w:t>
      </w:r>
      <w:r w:rsidRPr="00087AB3">
        <w:rPr>
          <w:rFonts w:cs="Arial"/>
          <w:szCs w:val="20"/>
        </w:rPr>
        <w:t xml:space="preserve"> dual connectivity</w:t>
      </w:r>
      <w:r w:rsidR="0055055D">
        <w:rPr>
          <w:rFonts w:cs="Arial"/>
          <w:szCs w:val="20"/>
        </w:rPr>
        <w:t xml:space="preserve"> </w:t>
      </w:r>
      <w:r w:rsidR="0055055D">
        <w:rPr>
          <w:rFonts w:cs="Arial"/>
          <w:szCs w:val="20"/>
        </w:rPr>
        <w:fldChar w:fldCharType="begin"/>
      </w:r>
      <w:r w:rsidR="0055055D">
        <w:rPr>
          <w:rFonts w:cs="Arial"/>
          <w:szCs w:val="20"/>
        </w:rPr>
        <w:instrText xml:space="preserve"> REF _Ref89866327 \r \h </w:instrText>
      </w:r>
      <w:r w:rsidR="0055055D">
        <w:rPr>
          <w:rFonts w:cs="Arial"/>
          <w:szCs w:val="20"/>
        </w:rPr>
      </w:r>
      <w:r w:rsidR="009C54D2">
        <w:rPr>
          <w:rFonts w:cs="Arial"/>
          <w:szCs w:val="20"/>
        </w:rPr>
        <w:instrText xml:space="preserve"> \* MERGEFORMAT </w:instrText>
      </w:r>
      <w:r w:rsidR="0055055D">
        <w:rPr>
          <w:rFonts w:cs="Arial"/>
          <w:szCs w:val="20"/>
        </w:rPr>
        <w:fldChar w:fldCharType="separate"/>
      </w:r>
      <w:r w:rsidR="003B2295">
        <w:rPr>
          <w:rFonts w:cs="Arial"/>
          <w:szCs w:val="20"/>
        </w:rPr>
        <w:t>[3]</w:t>
      </w:r>
      <w:r w:rsidR="0055055D">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9A6063" w:rsidRPr="00087AB3" w14:paraId="64B4D2AB" w14:textId="77777777" w:rsidTr="001F2465">
        <w:tc>
          <w:tcPr>
            <w:tcW w:w="9629" w:type="dxa"/>
          </w:tcPr>
          <w:p w14:paraId="48BC0164" w14:textId="7C448C9F" w:rsidR="00A8063D" w:rsidRPr="00A8362D" w:rsidRDefault="00A8063D" w:rsidP="003B2295">
            <w:pPr>
              <w:spacing w:line="288" w:lineRule="auto"/>
              <w:jc w:val="both"/>
              <w:rPr>
                <w:rFonts w:ascii="Calibri" w:hAnsi="Calibri"/>
                <w:b/>
                <w:color w:val="000000"/>
                <w:kern w:val="24"/>
                <w:szCs w:val="20"/>
                <w:highlight w:val="green"/>
                <w:lang w:val="en-GB"/>
              </w:rPr>
            </w:pPr>
            <w:bookmarkStart w:id="88" w:name="_Hlk85176856"/>
            <w:r w:rsidRPr="00A8362D">
              <w:rPr>
                <w:rFonts w:ascii="Calibri" w:hAnsi="Calibri" w:cs="Calibri"/>
                <w:b/>
                <w:szCs w:val="20"/>
                <w:highlight w:val="green"/>
                <w:lang w:val="en-GB"/>
              </w:rPr>
              <w:t>Agreement</w:t>
            </w:r>
          </w:p>
          <w:p w14:paraId="6F8E43F3" w14:textId="77777777" w:rsidR="00A8063D" w:rsidRPr="00A8063D" w:rsidRDefault="00A8063D" w:rsidP="003B2295">
            <w:pPr>
              <w:spacing w:line="288" w:lineRule="auto"/>
              <w:jc w:val="both"/>
              <w:rPr>
                <w:rFonts w:cs="Arial"/>
                <w:color w:val="000000"/>
                <w:kern w:val="24"/>
                <w:sz w:val="20"/>
                <w:szCs w:val="20"/>
                <w:lang w:val="en-GB"/>
              </w:rPr>
            </w:pPr>
            <w:r w:rsidRPr="00A8063D">
              <w:rPr>
                <w:rFonts w:eastAsia="Calibri" w:cs="Arial"/>
                <w:sz w:val="20"/>
                <w:szCs w:val="20"/>
                <w:lang w:val="en-GB"/>
              </w:rPr>
              <w:t>Select the following alternative to handle potential indication conflict of symbols configured as semi-static flexible by </w:t>
            </w:r>
            <w:r w:rsidRPr="0041207E">
              <w:rPr>
                <w:rFonts w:eastAsia="Calibri" w:cs="Arial"/>
                <w:sz w:val="20"/>
                <w:szCs w:val="20"/>
                <w:highlight w:val="yellow"/>
                <w:lang w:val="en-GB"/>
              </w:rPr>
              <w:t>one parent node</w:t>
            </w:r>
            <w:r w:rsidRPr="00A8063D">
              <w:rPr>
                <w:rFonts w:eastAsia="Calibri" w:cs="Arial"/>
                <w:sz w:val="20"/>
                <w:szCs w:val="20"/>
                <w:lang w:val="en-GB"/>
              </w:rPr>
              <w:t>, but not the other in inter-donor DC scenarios if the IAB MT of the dual-connected IAB-node does not support simultaneous Tx and Rx on different carriers:</w:t>
            </w:r>
          </w:p>
          <w:p w14:paraId="3FD1AD53" w14:textId="77777777" w:rsidR="00A8063D" w:rsidRPr="00A8063D" w:rsidRDefault="00A8063D" w:rsidP="003B2295">
            <w:pPr>
              <w:pStyle w:val="ListParagraph"/>
              <w:numPr>
                <w:ilvl w:val="0"/>
                <w:numId w:val="17"/>
              </w:numPr>
              <w:spacing w:line="240" w:lineRule="auto"/>
              <w:jc w:val="both"/>
              <w:rPr>
                <w:rFonts w:ascii="Arial" w:hAnsi="Arial" w:cs="Arial"/>
                <w:sz w:val="20"/>
                <w:szCs w:val="20"/>
                <w:lang w:val="en-GB"/>
              </w:rPr>
            </w:pPr>
            <w:r w:rsidRPr="00A8063D">
              <w:rPr>
                <w:rFonts w:ascii="Arial" w:hAnsi="Arial" w:cs="Arial"/>
                <w:sz w:val="20"/>
                <w:szCs w:val="20"/>
                <w:lang w:val="en-GB"/>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69F3204B" w14:textId="77777777" w:rsidR="00A8063D" w:rsidRPr="00A8063D" w:rsidRDefault="00A8063D" w:rsidP="003B2295">
            <w:pPr>
              <w:jc w:val="both"/>
              <w:rPr>
                <w:rFonts w:eastAsia="Calibri" w:cs="Arial"/>
                <w:sz w:val="20"/>
                <w:szCs w:val="20"/>
                <w:lang w:val="en-GB"/>
              </w:rPr>
            </w:pPr>
            <w:r w:rsidRPr="00A8063D">
              <w:rPr>
                <w:rFonts w:eastAsia="Calibri" w:cs="Arial"/>
                <w:sz w:val="20"/>
                <w:szCs w:val="20"/>
                <w:lang w:val="en-GB"/>
              </w:rPr>
              <w:lastRenderedPageBreak/>
              <w:t xml:space="preserve">Select the following alternative to handle potential indication conflict of symbols configured as semi-static flexible by </w:t>
            </w:r>
            <w:r w:rsidRPr="0041207E">
              <w:rPr>
                <w:rFonts w:eastAsia="Calibri" w:cs="Arial"/>
                <w:sz w:val="20"/>
                <w:szCs w:val="20"/>
                <w:highlight w:val="yellow"/>
                <w:lang w:val="en-GB"/>
              </w:rPr>
              <w:t>both parent nodes</w:t>
            </w:r>
            <w:r w:rsidRPr="00A8063D">
              <w:rPr>
                <w:rFonts w:eastAsia="Calibri" w:cs="Arial"/>
                <w:sz w:val="20"/>
                <w:szCs w:val="20"/>
                <w:lang w:val="en-GB"/>
              </w:rPr>
              <w:t xml:space="preserve"> in inter-donor DC scenarios if the IAB MT of the dual-connected IAB-node does not support simultaneous Tx and Rx on different carriers:</w:t>
            </w:r>
          </w:p>
          <w:p w14:paraId="2F2AC09A" w14:textId="77777777" w:rsidR="00A8063D" w:rsidRPr="00A8063D" w:rsidRDefault="00A8063D" w:rsidP="003B2295">
            <w:pPr>
              <w:pStyle w:val="ListParagraph"/>
              <w:numPr>
                <w:ilvl w:val="0"/>
                <w:numId w:val="17"/>
              </w:numPr>
              <w:spacing w:line="240" w:lineRule="auto"/>
              <w:jc w:val="both"/>
              <w:rPr>
                <w:rFonts w:ascii="Arial" w:hAnsi="Arial" w:cs="Arial"/>
                <w:sz w:val="20"/>
                <w:szCs w:val="20"/>
                <w:lang w:val="en-GB"/>
              </w:rPr>
            </w:pPr>
            <w:r w:rsidRPr="00A8063D">
              <w:rPr>
                <w:rFonts w:ascii="Arial" w:hAnsi="Arial" w:cs="Arial"/>
                <w:sz w:val="20"/>
                <w:szCs w:val="20"/>
                <w:lang w:val="en-GB"/>
              </w:rPr>
              <w:t>Alt. 5: If a conflict occurs, the IAB MT is expected to perform as scheduled by MCG</w:t>
            </w:r>
          </w:p>
          <w:bookmarkEnd w:id="88"/>
          <w:p w14:paraId="27CBBC1C" w14:textId="77777777" w:rsidR="008569A9" w:rsidRDefault="008569A9" w:rsidP="003B2295">
            <w:pPr>
              <w:spacing w:line="288" w:lineRule="auto"/>
              <w:jc w:val="both"/>
              <w:rPr>
                <w:rFonts w:ascii="Calibri" w:hAnsi="Calibri" w:cs="Calibri"/>
                <w:b/>
                <w:highlight w:val="green"/>
                <w:lang w:val="en-GB"/>
              </w:rPr>
            </w:pPr>
          </w:p>
          <w:p w14:paraId="23E21343" w14:textId="07677A4E" w:rsidR="00A8063D" w:rsidRPr="00A8362D" w:rsidRDefault="00A8063D" w:rsidP="003B2295">
            <w:pPr>
              <w:spacing w:line="288" w:lineRule="auto"/>
              <w:jc w:val="both"/>
              <w:rPr>
                <w:rFonts w:ascii="Calibri" w:hAnsi="Calibri" w:cs="Calibri"/>
                <w:b/>
                <w:highlight w:val="green"/>
                <w:lang w:val="en-GB"/>
              </w:rPr>
            </w:pPr>
            <w:r w:rsidRPr="00A8362D">
              <w:rPr>
                <w:rFonts w:ascii="Calibri" w:hAnsi="Calibri" w:cs="Calibri"/>
                <w:b/>
                <w:highlight w:val="green"/>
                <w:lang w:val="en-GB"/>
              </w:rPr>
              <w:t>Agreement:</w:t>
            </w:r>
          </w:p>
          <w:p w14:paraId="3309C8C8" w14:textId="77777777" w:rsidR="00A8063D" w:rsidRPr="008569A9" w:rsidRDefault="00A8063D" w:rsidP="003B2295">
            <w:pPr>
              <w:spacing w:line="288" w:lineRule="auto"/>
              <w:jc w:val="both"/>
              <w:rPr>
                <w:rFonts w:cs="Arial"/>
                <w:bCs/>
                <w:sz w:val="20"/>
                <w:szCs w:val="20"/>
                <w:lang w:val="en-GB"/>
              </w:rPr>
            </w:pPr>
            <w:r w:rsidRPr="008569A9">
              <w:rPr>
                <w:rFonts w:cs="Arial"/>
                <w:bCs/>
                <w:sz w:val="20"/>
                <w:szCs w:val="20"/>
                <w:lang w:val="en-GB"/>
              </w:rPr>
              <w:t>In DC scenarios, support per-child MT link-NA resource configuration.</w:t>
            </w:r>
          </w:p>
          <w:p w14:paraId="19687986" w14:textId="77777777" w:rsidR="00A8063D" w:rsidRPr="008569A9" w:rsidRDefault="00A8063D" w:rsidP="003B2295">
            <w:pPr>
              <w:numPr>
                <w:ilvl w:val="0"/>
                <w:numId w:val="16"/>
              </w:numPr>
              <w:spacing w:after="0" w:line="288" w:lineRule="auto"/>
              <w:jc w:val="both"/>
              <w:rPr>
                <w:rFonts w:cs="Arial"/>
                <w:bCs/>
                <w:color w:val="000000"/>
                <w:kern w:val="24"/>
                <w:sz w:val="20"/>
                <w:szCs w:val="20"/>
                <w:lang w:val="en-GB"/>
              </w:rPr>
            </w:pPr>
            <w:r w:rsidRPr="008569A9">
              <w:rPr>
                <w:rFonts w:cs="Arial"/>
                <w:bCs/>
                <w:sz w:val="20"/>
                <w:szCs w:val="20"/>
                <w:lang w:val="en-GB"/>
              </w:rPr>
              <w:t>This configuration can be made available to IAB node as well</w:t>
            </w:r>
          </w:p>
          <w:p w14:paraId="4E33054B" w14:textId="77777777" w:rsidR="000721AC" w:rsidRPr="00A8063D" w:rsidRDefault="000721AC" w:rsidP="003B2295">
            <w:pPr>
              <w:tabs>
                <w:tab w:val="left" w:pos="720"/>
              </w:tabs>
              <w:spacing w:line="240" w:lineRule="auto"/>
              <w:contextualSpacing/>
              <w:jc w:val="both"/>
              <w:rPr>
                <w:rFonts w:cs="Arial"/>
                <w:b/>
                <w:bCs/>
                <w:color w:val="000000"/>
                <w:sz w:val="20"/>
                <w:szCs w:val="20"/>
                <w:lang w:val="en-GB"/>
              </w:rPr>
            </w:pPr>
          </w:p>
          <w:p w14:paraId="0F84621E" w14:textId="77777777" w:rsidR="009A6063" w:rsidRPr="00087AB3" w:rsidRDefault="009A6063" w:rsidP="003B2295">
            <w:pPr>
              <w:spacing w:line="240" w:lineRule="auto"/>
              <w:contextualSpacing/>
              <w:jc w:val="both"/>
              <w:rPr>
                <w:rFonts w:cs="Arial"/>
                <w:color w:val="000000"/>
                <w:sz w:val="20"/>
                <w:szCs w:val="20"/>
              </w:rPr>
            </w:pPr>
          </w:p>
        </w:tc>
      </w:tr>
    </w:tbl>
    <w:p w14:paraId="211D7752" w14:textId="7A5D5F53" w:rsidR="0007722B" w:rsidRPr="00087AB3" w:rsidRDefault="009E622F" w:rsidP="003B2295">
      <w:pPr>
        <w:spacing w:before="240"/>
        <w:jc w:val="both"/>
        <w:rPr>
          <w:rFonts w:cs="Arial"/>
          <w:szCs w:val="20"/>
        </w:rPr>
      </w:pPr>
      <w:r>
        <w:rPr>
          <w:rFonts w:cs="Arial"/>
          <w:szCs w:val="20"/>
        </w:rPr>
        <w:lastRenderedPageBreak/>
        <w:t>T</w:t>
      </w:r>
      <w:r w:rsidR="00561F0D">
        <w:rPr>
          <w:rFonts w:cs="Arial"/>
          <w:szCs w:val="20"/>
        </w:rPr>
        <w:t>he extract</w:t>
      </w:r>
      <w:r>
        <w:rPr>
          <w:rFonts w:cs="Arial"/>
          <w:szCs w:val="20"/>
        </w:rPr>
        <w:t xml:space="preserve"> below</w:t>
      </w:r>
      <w:r w:rsidR="00561F0D">
        <w:rPr>
          <w:rFonts w:cs="Arial"/>
          <w:szCs w:val="20"/>
        </w:rPr>
        <w:t xml:space="preserve"> from the specifications TS 38.306</w:t>
      </w:r>
      <w:r w:rsidR="00B77D49">
        <w:rPr>
          <w:rFonts w:cs="Arial"/>
          <w:szCs w:val="20"/>
        </w:rPr>
        <w:t xml:space="preserve"> </w:t>
      </w:r>
      <w:r w:rsidR="00B77D49">
        <w:rPr>
          <w:rFonts w:cs="Arial"/>
          <w:szCs w:val="20"/>
        </w:rPr>
        <w:fldChar w:fldCharType="begin"/>
      </w:r>
      <w:r w:rsidR="00B77D49">
        <w:rPr>
          <w:rFonts w:cs="Arial"/>
          <w:szCs w:val="20"/>
        </w:rPr>
        <w:instrText xml:space="preserve"> REF _Ref85402065 \r \h </w:instrText>
      </w:r>
      <w:r w:rsidR="00B77D49">
        <w:rPr>
          <w:rFonts w:cs="Arial"/>
          <w:szCs w:val="20"/>
        </w:rPr>
      </w:r>
      <w:r w:rsidR="009C54D2">
        <w:rPr>
          <w:rFonts w:cs="Arial"/>
          <w:szCs w:val="20"/>
        </w:rPr>
        <w:instrText xml:space="preserve"> \* MERGEFORMAT </w:instrText>
      </w:r>
      <w:r w:rsidR="00B77D49">
        <w:rPr>
          <w:rFonts w:cs="Arial"/>
          <w:szCs w:val="20"/>
        </w:rPr>
        <w:fldChar w:fldCharType="separate"/>
      </w:r>
      <w:r w:rsidR="003B2295">
        <w:rPr>
          <w:rFonts w:cs="Arial"/>
          <w:szCs w:val="20"/>
        </w:rPr>
        <w:t>[14]</w:t>
      </w:r>
      <w:r w:rsidR="00B77D49">
        <w:rPr>
          <w:rFonts w:cs="Arial"/>
          <w:szCs w:val="20"/>
        </w:rPr>
        <w:fldChar w:fldCharType="end"/>
      </w:r>
      <w:r w:rsidR="00561F0D">
        <w:rPr>
          <w:rFonts w:cs="Arial"/>
          <w:szCs w:val="20"/>
        </w:rPr>
        <w:t>, TS 38.331</w:t>
      </w:r>
      <w:r w:rsidR="00B77D49">
        <w:rPr>
          <w:rFonts w:cs="Arial"/>
          <w:szCs w:val="20"/>
        </w:rPr>
        <w:t xml:space="preserve"> </w:t>
      </w:r>
      <w:r w:rsidR="00B77D49">
        <w:rPr>
          <w:rFonts w:cs="Arial"/>
          <w:szCs w:val="20"/>
        </w:rPr>
        <w:fldChar w:fldCharType="begin"/>
      </w:r>
      <w:r w:rsidR="00B77D49">
        <w:rPr>
          <w:rFonts w:cs="Arial"/>
          <w:szCs w:val="20"/>
        </w:rPr>
        <w:instrText xml:space="preserve"> REF _Ref74586978 \r \h </w:instrText>
      </w:r>
      <w:r w:rsidR="00B77D49">
        <w:rPr>
          <w:rFonts w:cs="Arial"/>
          <w:szCs w:val="20"/>
        </w:rPr>
      </w:r>
      <w:r w:rsidR="009C54D2">
        <w:rPr>
          <w:rFonts w:cs="Arial"/>
          <w:szCs w:val="20"/>
        </w:rPr>
        <w:instrText xml:space="preserve"> \* MERGEFORMAT </w:instrText>
      </w:r>
      <w:r w:rsidR="00B77D49">
        <w:rPr>
          <w:rFonts w:cs="Arial"/>
          <w:szCs w:val="20"/>
        </w:rPr>
        <w:fldChar w:fldCharType="separate"/>
      </w:r>
      <w:r w:rsidR="003B2295">
        <w:rPr>
          <w:rFonts w:cs="Arial"/>
          <w:szCs w:val="20"/>
        </w:rPr>
        <w:t>[13]</w:t>
      </w:r>
      <w:r w:rsidR="00B77D49">
        <w:rPr>
          <w:rFonts w:cs="Arial"/>
          <w:szCs w:val="20"/>
        </w:rPr>
        <w:fldChar w:fldCharType="end"/>
      </w:r>
      <w:r w:rsidR="00561F0D">
        <w:rPr>
          <w:rFonts w:cs="Arial"/>
          <w:szCs w:val="20"/>
        </w:rPr>
        <w:t>, TS 38.</w:t>
      </w:r>
      <w:r w:rsidR="00857203">
        <w:rPr>
          <w:rFonts w:cs="Arial"/>
          <w:szCs w:val="20"/>
        </w:rPr>
        <w:t>213</w:t>
      </w:r>
      <w:r w:rsidR="00B77D49">
        <w:rPr>
          <w:rFonts w:cs="Arial"/>
          <w:szCs w:val="20"/>
        </w:rPr>
        <w:t xml:space="preserve"> </w:t>
      </w:r>
      <w:r w:rsidR="00B77D49">
        <w:rPr>
          <w:rFonts w:cs="Arial"/>
          <w:szCs w:val="20"/>
        </w:rPr>
        <w:fldChar w:fldCharType="begin"/>
      </w:r>
      <w:r w:rsidR="00B77D49">
        <w:rPr>
          <w:rFonts w:cs="Arial"/>
          <w:szCs w:val="20"/>
        </w:rPr>
        <w:instrText xml:space="preserve"> REF _Ref71662548 \r \h </w:instrText>
      </w:r>
      <w:r w:rsidR="00B77D49">
        <w:rPr>
          <w:rFonts w:cs="Arial"/>
          <w:szCs w:val="20"/>
        </w:rPr>
      </w:r>
      <w:r w:rsidR="009C54D2">
        <w:rPr>
          <w:rFonts w:cs="Arial"/>
          <w:szCs w:val="20"/>
        </w:rPr>
        <w:instrText xml:space="preserve"> \* MERGEFORMAT </w:instrText>
      </w:r>
      <w:r w:rsidR="00B77D49">
        <w:rPr>
          <w:rFonts w:cs="Arial"/>
          <w:szCs w:val="20"/>
        </w:rPr>
        <w:fldChar w:fldCharType="separate"/>
      </w:r>
      <w:r w:rsidR="003B2295">
        <w:rPr>
          <w:rFonts w:cs="Arial"/>
          <w:szCs w:val="20"/>
        </w:rPr>
        <w:t>[8]</w:t>
      </w:r>
      <w:r w:rsidR="00B77D49">
        <w:rPr>
          <w:rFonts w:cs="Arial"/>
          <w:szCs w:val="20"/>
        </w:rPr>
        <w:fldChar w:fldCharType="end"/>
      </w:r>
      <w:r w:rsidR="00A77D2D">
        <w:rPr>
          <w:rFonts w:cs="Arial"/>
          <w:szCs w:val="20"/>
        </w:rPr>
        <w:t xml:space="preserve"> shows the </w:t>
      </w:r>
      <w:r w:rsidR="005A7DF4">
        <w:rPr>
          <w:rFonts w:cs="Arial"/>
          <w:szCs w:val="20"/>
        </w:rPr>
        <w:t>upper</w:t>
      </w:r>
      <w:r w:rsidR="00A77D2D">
        <w:rPr>
          <w:rFonts w:cs="Arial"/>
          <w:szCs w:val="20"/>
        </w:rPr>
        <w:t xml:space="preserve"> layer parameters related to the directional collision handling in Rel-16 TEI</w:t>
      </w:r>
      <w:r w:rsidR="005A7DF4">
        <w:rPr>
          <w:rFonts w:cs="Arial"/>
          <w:szCs w:val="20"/>
        </w:rPr>
        <w:t xml:space="preserve"> (Inter-band CA)</w:t>
      </w:r>
      <w:r w:rsidR="00A77D2D">
        <w:rPr>
          <w:rFonts w:cs="Arial"/>
          <w:szCs w:val="20"/>
        </w:rPr>
        <w:t xml:space="preserve">. First, if the capability </w:t>
      </w:r>
      <w:proofErr w:type="spellStart"/>
      <w:r w:rsidR="00A77D2D" w:rsidRPr="004B5A68">
        <w:rPr>
          <w:rFonts w:cs="Arial"/>
          <w:i/>
          <w:szCs w:val="20"/>
        </w:rPr>
        <w:t>simultaneousRXTXInterB</w:t>
      </w:r>
      <w:r w:rsidR="005A7DF4" w:rsidRPr="004B5A68">
        <w:rPr>
          <w:rFonts w:cs="Arial"/>
          <w:i/>
          <w:szCs w:val="20"/>
        </w:rPr>
        <w:t>a</w:t>
      </w:r>
      <w:r w:rsidR="00A77D2D" w:rsidRPr="004B5A68">
        <w:rPr>
          <w:rFonts w:cs="Arial"/>
          <w:i/>
          <w:szCs w:val="20"/>
        </w:rPr>
        <w:t>nd</w:t>
      </w:r>
      <w:proofErr w:type="spellEnd"/>
      <w:r w:rsidR="00A77D2D">
        <w:rPr>
          <w:rFonts w:cs="Arial"/>
          <w:szCs w:val="20"/>
        </w:rPr>
        <w:t xml:space="preserve"> CA is not present, the UE/IAB-MT can report the </w:t>
      </w:r>
      <w:r w:rsidR="00A77D2D" w:rsidRPr="004B5A68">
        <w:rPr>
          <w:rFonts w:cs="Arial"/>
          <w:i/>
          <w:szCs w:val="20"/>
        </w:rPr>
        <w:t>half-DuplexTDD-CA-SameSCS-r16</w:t>
      </w:r>
      <w:r w:rsidR="00A77D2D">
        <w:rPr>
          <w:rFonts w:cs="Arial"/>
          <w:szCs w:val="20"/>
        </w:rPr>
        <w:t xml:space="preserve"> capability to the donor-CU. After reporting the support of </w:t>
      </w:r>
      <w:r w:rsidR="00A77D2D" w:rsidRPr="004B5A68">
        <w:rPr>
          <w:rFonts w:cs="Arial"/>
          <w:i/>
          <w:szCs w:val="20"/>
        </w:rPr>
        <w:t>half-DuplexTDD-CA-SameSCS-r16</w:t>
      </w:r>
      <w:r w:rsidR="00A77D2D">
        <w:rPr>
          <w:rFonts w:cs="Arial"/>
          <w:szCs w:val="20"/>
        </w:rPr>
        <w:t xml:space="preserve"> capability, the UE/IAB-MT can be provided with the RRC parameter </w:t>
      </w:r>
      <w:r w:rsidR="00A77D2D" w:rsidRPr="004B5A68">
        <w:rPr>
          <w:rFonts w:cs="Arial"/>
          <w:i/>
          <w:szCs w:val="20"/>
        </w:rPr>
        <w:t>directionalCollsionHandling-16</w:t>
      </w:r>
      <w:r w:rsidR="00A77D2D">
        <w:rPr>
          <w:rFonts w:cs="Arial"/>
          <w:szCs w:val="20"/>
        </w:rPr>
        <w:t xml:space="preserve"> and apply the resolution rules specified in TS 38.213</w:t>
      </w:r>
      <w:r w:rsidR="005C21E7">
        <w:rPr>
          <w:rFonts w:cs="Arial"/>
          <w:szCs w:val="20"/>
        </w:rPr>
        <w:t xml:space="preserve"> </w:t>
      </w:r>
      <w:r w:rsidR="005C21E7">
        <w:rPr>
          <w:rFonts w:cs="Arial"/>
          <w:szCs w:val="20"/>
        </w:rPr>
        <w:fldChar w:fldCharType="begin"/>
      </w:r>
      <w:r w:rsidR="005C21E7">
        <w:rPr>
          <w:rFonts w:cs="Arial"/>
          <w:szCs w:val="20"/>
        </w:rPr>
        <w:instrText xml:space="preserve"> REF _Ref71662548 \r \h </w:instrText>
      </w:r>
      <w:r w:rsidR="005C21E7">
        <w:rPr>
          <w:rFonts w:cs="Arial"/>
          <w:szCs w:val="20"/>
        </w:rPr>
      </w:r>
      <w:r w:rsidR="009C54D2">
        <w:rPr>
          <w:rFonts w:cs="Arial"/>
          <w:szCs w:val="20"/>
        </w:rPr>
        <w:instrText xml:space="preserve"> \* MERGEFORMAT </w:instrText>
      </w:r>
      <w:r w:rsidR="005C21E7">
        <w:rPr>
          <w:rFonts w:cs="Arial"/>
          <w:szCs w:val="20"/>
        </w:rPr>
        <w:fldChar w:fldCharType="separate"/>
      </w:r>
      <w:r w:rsidR="003B2295">
        <w:rPr>
          <w:rFonts w:cs="Arial"/>
          <w:szCs w:val="20"/>
        </w:rPr>
        <w:t>[8]</w:t>
      </w:r>
      <w:r w:rsidR="005C21E7">
        <w:rPr>
          <w:rFonts w:cs="Arial"/>
          <w:szCs w:val="20"/>
        </w:rPr>
        <w:fldChar w:fldCharType="end"/>
      </w:r>
      <w:r w:rsidR="00A77D2D">
        <w:rPr>
          <w:rFonts w:cs="Arial"/>
          <w:szCs w:val="20"/>
        </w:rPr>
        <w:t>.</w:t>
      </w:r>
    </w:p>
    <w:tbl>
      <w:tblPr>
        <w:tblStyle w:val="TableGrid"/>
        <w:tblW w:w="0" w:type="auto"/>
        <w:tblLook w:val="04A0" w:firstRow="1" w:lastRow="0" w:firstColumn="1" w:lastColumn="0" w:noHBand="0" w:noVBand="1"/>
      </w:tblPr>
      <w:tblGrid>
        <w:gridCol w:w="9629"/>
      </w:tblGrid>
      <w:tr w:rsidR="007A3D09" w:rsidRPr="00087AB3" w14:paraId="050435B4" w14:textId="77777777" w:rsidTr="0007722B">
        <w:tc>
          <w:tcPr>
            <w:tcW w:w="9629" w:type="dxa"/>
          </w:tcPr>
          <w:p w14:paraId="0E4131AA" w14:textId="2BAC16D8" w:rsidR="007A3D09" w:rsidRPr="00A8063D" w:rsidRDefault="007A3D09" w:rsidP="003B2295">
            <w:pPr>
              <w:tabs>
                <w:tab w:val="left" w:pos="720"/>
              </w:tabs>
              <w:spacing w:line="240" w:lineRule="auto"/>
              <w:contextualSpacing/>
              <w:jc w:val="both"/>
              <w:rPr>
                <w:rFonts w:cs="Arial"/>
                <w:b/>
                <w:bCs/>
                <w:color w:val="000000"/>
                <w:sz w:val="20"/>
                <w:szCs w:val="20"/>
                <w:lang w:val="en-GB"/>
              </w:rPr>
            </w:pPr>
            <w:r>
              <w:t>Extract from TS 38.306</w:t>
            </w:r>
          </w:p>
          <w:p w14:paraId="031955B0" w14:textId="77777777" w:rsidR="007A3D09" w:rsidRPr="00F4543C" w:rsidRDefault="007A3D09" w:rsidP="003B2295">
            <w:pPr>
              <w:pStyle w:val="TAL"/>
              <w:jc w:val="both"/>
              <w:rPr>
                <w:b/>
                <w:bCs/>
                <w:i/>
                <w:iCs/>
              </w:rPr>
            </w:pPr>
            <w:r w:rsidRPr="00F4543C">
              <w:rPr>
                <w:b/>
                <w:bCs/>
                <w:i/>
                <w:iCs/>
              </w:rPr>
              <w:t>half-DuplexTDD-CA-SameSCS-r16</w:t>
            </w:r>
          </w:p>
          <w:p w14:paraId="761B010D" w14:textId="7DF8E3C7" w:rsidR="007A3D09" w:rsidRPr="00087AB3" w:rsidRDefault="007A3D09" w:rsidP="003B2295">
            <w:pPr>
              <w:spacing w:line="240" w:lineRule="auto"/>
              <w:contextualSpacing/>
              <w:jc w:val="both"/>
              <w:rPr>
                <w:rFonts w:cs="Arial"/>
                <w:color w:val="000000"/>
                <w:sz w:val="20"/>
                <w:szCs w:val="20"/>
              </w:rPr>
            </w:pPr>
            <w:r w:rsidRPr="00F4543C">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7D63E2">
              <w:rPr>
                <w:bCs/>
                <w:i/>
                <w:iCs/>
                <w:highlight w:val="red"/>
              </w:rPr>
              <w:t>simultaneousRxTxInterBandCA</w:t>
            </w:r>
            <w:proofErr w:type="spellEnd"/>
            <w:r w:rsidRPr="00F4543C">
              <w:rPr>
                <w:bCs/>
                <w:iCs/>
              </w:rPr>
              <w:t xml:space="preserve"> is not present for band combinations involving mix of intra-band TDD CA and inter-band TDD CA</w:t>
            </w:r>
          </w:p>
        </w:tc>
      </w:tr>
    </w:tbl>
    <w:p w14:paraId="2C827DEA" w14:textId="38946EFC" w:rsidR="007A3D09" w:rsidRDefault="007A3D09" w:rsidP="003B2295">
      <w:pPr>
        <w:spacing w:before="240"/>
        <w:jc w:val="both"/>
        <w:rPr>
          <w:rFonts w:cs="Arial"/>
          <w:szCs w:val="20"/>
        </w:rPr>
      </w:pPr>
    </w:p>
    <w:tbl>
      <w:tblPr>
        <w:tblStyle w:val="TableGrid"/>
        <w:tblW w:w="0" w:type="auto"/>
        <w:tblLook w:val="04A0" w:firstRow="1" w:lastRow="0" w:firstColumn="1" w:lastColumn="0" w:noHBand="0" w:noVBand="1"/>
      </w:tblPr>
      <w:tblGrid>
        <w:gridCol w:w="9629"/>
      </w:tblGrid>
      <w:tr w:rsidR="007A3D09" w:rsidRPr="00087AB3" w14:paraId="248D8888" w14:textId="77777777" w:rsidTr="0007722B">
        <w:tc>
          <w:tcPr>
            <w:tcW w:w="9629" w:type="dxa"/>
          </w:tcPr>
          <w:p w14:paraId="6804133D" w14:textId="29B54F33" w:rsidR="007A3D09" w:rsidRPr="00A8063D" w:rsidRDefault="007A3D09" w:rsidP="003B2295">
            <w:pPr>
              <w:tabs>
                <w:tab w:val="left" w:pos="720"/>
              </w:tabs>
              <w:spacing w:line="240" w:lineRule="auto"/>
              <w:contextualSpacing/>
              <w:jc w:val="both"/>
              <w:rPr>
                <w:rFonts w:cs="Arial"/>
                <w:b/>
                <w:bCs/>
                <w:color w:val="000000"/>
                <w:sz w:val="20"/>
                <w:szCs w:val="20"/>
                <w:lang w:val="en-GB"/>
              </w:rPr>
            </w:pPr>
            <w:r>
              <w:t>Extract from TS 38.331</w:t>
            </w:r>
          </w:p>
          <w:p w14:paraId="6D15FC49" w14:textId="77777777" w:rsidR="0007722B" w:rsidRPr="009C7017" w:rsidRDefault="0007722B" w:rsidP="003B2295">
            <w:pPr>
              <w:pStyle w:val="TAL"/>
              <w:jc w:val="both"/>
              <w:rPr>
                <w:b/>
                <w:i/>
                <w:lang w:eastAsia="sv-SE"/>
              </w:rPr>
            </w:pPr>
            <w:proofErr w:type="spellStart"/>
            <w:r w:rsidRPr="007D63E2">
              <w:rPr>
                <w:b/>
                <w:i/>
                <w:highlight w:val="red"/>
                <w:lang w:eastAsia="sv-SE"/>
              </w:rPr>
              <w:t>directionalCollisionHandling</w:t>
            </w:r>
            <w:proofErr w:type="spellEnd"/>
          </w:p>
          <w:p w14:paraId="11C3EDFC" w14:textId="7F7C5C0D" w:rsidR="007A3D09" w:rsidRPr="00087AB3" w:rsidRDefault="0007722B" w:rsidP="003B2295">
            <w:pPr>
              <w:spacing w:line="240" w:lineRule="auto"/>
              <w:contextualSpacing/>
              <w:jc w:val="both"/>
              <w:rPr>
                <w:rFonts w:cs="Arial"/>
                <w:color w:val="000000"/>
                <w:sz w:val="20"/>
                <w:szCs w:val="20"/>
              </w:rPr>
            </w:pPr>
            <w:r w:rsidRPr="009C7017">
              <w:rPr>
                <w:lang w:eastAsia="sv-SE"/>
              </w:rPr>
              <w:t>Indicates that this serving cell is using 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bl>
    <w:p w14:paraId="1A963672" w14:textId="551A6B2E" w:rsidR="007A3D09" w:rsidRDefault="007A3D09" w:rsidP="003B2295">
      <w:pPr>
        <w:spacing w:before="240"/>
        <w:jc w:val="both"/>
        <w:rPr>
          <w:rFonts w:cs="Arial"/>
          <w:szCs w:val="20"/>
        </w:rPr>
      </w:pPr>
    </w:p>
    <w:tbl>
      <w:tblPr>
        <w:tblStyle w:val="TableGrid"/>
        <w:tblW w:w="0" w:type="auto"/>
        <w:tblLook w:val="04A0" w:firstRow="1" w:lastRow="0" w:firstColumn="1" w:lastColumn="0" w:noHBand="0" w:noVBand="1"/>
      </w:tblPr>
      <w:tblGrid>
        <w:gridCol w:w="9629"/>
      </w:tblGrid>
      <w:tr w:rsidR="007A3D09" w:rsidRPr="00087AB3" w14:paraId="39889987" w14:textId="77777777" w:rsidTr="0007722B">
        <w:tc>
          <w:tcPr>
            <w:tcW w:w="9629" w:type="dxa"/>
          </w:tcPr>
          <w:p w14:paraId="6CCBBF34" w14:textId="0B3C508F" w:rsidR="007A3D09" w:rsidRPr="00A8063D" w:rsidRDefault="007A3D09" w:rsidP="003B2295">
            <w:pPr>
              <w:tabs>
                <w:tab w:val="left" w:pos="720"/>
              </w:tabs>
              <w:spacing w:line="240" w:lineRule="auto"/>
              <w:contextualSpacing/>
              <w:jc w:val="both"/>
              <w:rPr>
                <w:rFonts w:cs="Arial"/>
                <w:b/>
                <w:bCs/>
                <w:color w:val="000000"/>
                <w:sz w:val="20"/>
                <w:szCs w:val="20"/>
                <w:lang w:val="en-GB"/>
              </w:rPr>
            </w:pPr>
            <w:r>
              <w:t>Extract from TS 38.</w:t>
            </w:r>
            <w:r w:rsidR="0007722B">
              <w:t>213, clause 11.1</w:t>
            </w:r>
          </w:p>
          <w:p w14:paraId="367DC2CD" w14:textId="77777777" w:rsidR="0007722B" w:rsidRPr="0007722B" w:rsidRDefault="0007722B" w:rsidP="003B2295">
            <w:pPr>
              <w:jc w:val="both"/>
              <w:rPr>
                <w:rFonts w:cs="Arial"/>
                <w:sz w:val="20"/>
                <w:szCs w:val="20"/>
              </w:rPr>
            </w:pPr>
            <w:r w:rsidRPr="0007722B">
              <w:rPr>
                <w:rFonts w:cs="Arial"/>
                <w:sz w:val="20"/>
                <w:szCs w:val="20"/>
              </w:rPr>
              <w:t xml:space="preserve">If a UE </w:t>
            </w:r>
          </w:p>
          <w:p w14:paraId="11A709C4" w14:textId="77777777" w:rsidR="0007722B" w:rsidRPr="0007722B" w:rsidRDefault="0007722B" w:rsidP="003B2295">
            <w:pPr>
              <w:pStyle w:val="B1"/>
              <w:rPr>
                <w:rFonts w:ascii="Arial" w:hAnsi="Arial" w:cs="Arial"/>
                <w:sz w:val="20"/>
                <w:szCs w:val="20"/>
              </w:rPr>
            </w:pPr>
            <w:r w:rsidRPr="0007722B">
              <w:rPr>
                <w:rFonts w:ascii="Arial" w:hAnsi="Arial" w:cs="Arial"/>
                <w:sz w:val="20"/>
                <w:szCs w:val="20"/>
              </w:rPr>
              <w:t>-</w:t>
            </w:r>
            <w:r w:rsidRPr="0007722B">
              <w:rPr>
                <w:rFonts w:ascii="Arial" w:hAnsi="Arial" w:cs="Arial"/>
                <w:sz w:val="20"/>
                <w:szCs w:val="20"/>
              </w:rPr>
              <w:tab/>
              <w:t xml:space="preserve">is configured with multiple serving cells and is provided with </w:t>
            </w:r>
            <w:r w:rsidRPr="007D63E2">
              <w:rPr>
                <w:rFonts w:ascii="Arial" w:hAnsi="Arial" w:cs="Arial"/>
                <w:i/>
                <w:sz w:val="20"/>
                <w:szCs w:val="20"/>
                <w:highlight w:val="red"/>
              </w:rPr>
              <w:t>directionalCollisionHandling-r16</w:t>
            </w:r>
            <w:r w:rsidRPr="0007722B">
              <w:rPr>
                <w:rFonts w:ascii="Arial" w:hAnsi="Arial" w:cs="Arial"/>
                <w:i/>
                <w:sz w:val="20"/>
                <w:szCs w:val="20"/>
              </w:rPr>
              <w:t xml:space="preserve"> </w:t>
            </w:r>
            <w:r w:rsidRPr="0007722B">
              <w:rPr>
                <w:rFonts w:ascii="Arial" w:hAnsi="Arial" w:cs="Arial"/>
                <w:sz w:val="20"/>
                <w:szCs w:val="20"/>
              </w:rPr>
              <w:t xml:space="preserve">= 'enabled' for a set of serving cell(s) among the multiple serving cells, </w:t>
            </w:r>
            <w:r w:rsidRPr="0007722B">
              <w:rPr>
                <w:rFonts w:ascii="Arial" w:eastAsia="DengXian" w:hAnsi="Arial" w:cs="Arial"/>
                <w:sz w:val="20"/>
                <w:szCs w:val="20"/>
              </w:rPr>
              <w:t>and</w:t>
            </w:r>
          </w:p>
          <w:p w14:paraId="502E6F21" w14:textId="77777777" w:rsidR="0007722B" w:rsidRPr="0007722B" w:rsidRDefault="0007722B" w:rsidP="003B2295">
            <w:pPr>
              <w:pStyle w:val="B1"/>
              <w:rPr>
                <w:rFonts w:ascii="Arial" w:hAnsi="Arial" w:cs="Arial"/>
                <w:sz w:val="20"/>
                <w:szCs w:val="20"/>
              </w:rPr>
            </w:pPr>
            <w:r w:rsidRPr="0007722B">
              <w:rPr>
                <w:rFonts w:ascii="Arial" w:hAnsi="Arial" w:cs="Arial"/>
                <w:sz w:val="20"/>
                <w:szCs w:val="20"/>
              </w:rPr>
              <w:t>-</w:t>
            </w:r>
            <w:r w:rsidRPr="0007722B">
              <w:rPr>
                <w:rFonts w:ascii="Arial" w:hAnsi="Arial" w:cs="Arial"/>
                <w:sz w:val="20"/>
                <w:szCs w:val="20"/>
              </w:rPr>
              <w:tab/>
              <w:t xml:space="preserve">indicates support of </w:t>
            </w:r>
            <w:r w:rsidRPr="007D63E2">
              <w:rPr>
                <w:rFonts w:ascii="Arial" w:eastAsia="MS Mincho" w:hAnsi="Arial" w:cs="Arial"/>
                <w:i/>
                <w:iCs/>
                <w:color w:val="000000"/>
                <w:sz w:val="20"/>
                <w:szCs w:val="20"/>
                <w:highlight w:val="red"/>
              </w:rPr>
              <w:t>half-DuplexTDD-CA-SameSCS-r16</w:t>
            </w:r>
            <w:r w:rsidRPr="0007722B">
              <w:rPr>
                <w:rFonts w:ascii="Arial" w:eastAsia="MS Mincho" w:hAnsi="Arial" w:cs="Arial"/>
                <w:i/>
                <w:iCs/>
                <w:color w:val="000000"/>
                <w:sz w:val="20"/>
                <w:szCs w:val="20"/>
              </w:rPr>
              <w:t xml:space="preserve"> </w:t>
            </w:r>
            <w:r w:rsidRPr="0007722B">
              <w:rPr>
                <w:rFonts w:ascii="Arial" w:eastAsia="MS Mincho" w:hAnsi="Arial" w:cs="Arial"/>
                <w:color w:val="000000"/>
                <w:sz w:val="20"/>
                <w:szCs w:val="20"/>
              </w:rPr>
              <w:t>capability</w:t>
            </w:r>
            <w:r w:rsidRPr="0007722B">
              <w:rPr>
                <w:rFonts w:ascii="Arial" w:hAnsi="Arial" w:cs="Arial"/>
                <w:sz w:val="20"/>
                <w:szCs w:val="20"/>
              </w:rPr>
              <w:t xml:space="preserve">, and </w:t>
            </w:r>
          </w:p>
          <w:p w14:paraId="3FFC54D1" w14:textId="1701236D" w:rsidR="0007722B" w:rsidRDefault="0007722B" w:rsidP="003B2295">
            <w:pPr>
              <w:pStyle w:val="B1"/>
              <w:rPr>
                <w:rFonts w:ascii="Arial" w:hAnsi="Arial" w:cs="Arial"/>
                <w:sz w:val="20"/>
                <w:szCs w:val="20"/>
              </w:rPr>
            </w:pPr>
            <w:r w:rsidRPr="0007722B">
              <w:rPr>
                <w:rFonts w:ascii="Arial" w:hAnsi="Arial" w:cs="Arial"/>
                <w:sz w:val="20"/>
                <w:szCs w:val="20"/>
              </w:rPr>
              <w:t>-</w:t>
            </w:r>
            <w:r w:rsidRPr="0007722B">
              <w:rPr>
                <w:rFonts w:ascii="Arial" w:hAnsi="Arial" w:cs="Arial"/>
                <w:sz w:val="20"/>
                <w:szCs w:val="20"/>
              </w:rPr>
              <w:tab/>
              <w:t xml:space="preserve">is not configured to monitor PDCCH for detection of DCI format 2_0 </w:t>
            </w:r>
            <w:r w:rsidRPr="0007722B">
              <w:rPr>
                <w:rFonts w:ascii="Arial" w:eastAsia="DengXian" w:hAnsi="Arial" w:cs="Arial"/>
                <w:sz w:val="20"/>
                <w:szCs w:val="20"/>
              </w:rPr>
              <w:t>on any of the multiple serving cells,</w:t>
            </w:r>
          </w:p>
          <w:p w14:paraId="5B875BB9" w14:textId="11F44A10" w:rsidR="0007722B" w:rsidRPr="001759C7" w:rsidRDefault="0007722B" w:rsidP="003B2295">
            <w:pPr>
              <w:jc w:val="both"/>
            </w:pPr>
            <w:r>
              <w:t>- - - - - - - - - - - - - - - - &lt;paragraphs omitted&gt;- - - - - - - - - - - - - - - -</w:t>
            </w:r>
          </w:p>
          <w:p w14:paraId="41EB6D68" w14:textId="15852A48" w:rsidR="0007722B" w:rsidRDefault="0041207E" w:rsidP="003B2295">
            <w:pPr>
              <w:pStyle w:val="B1"/>
              <w:ind w:left="0" w:firstLine="0"/>
              <w:rPr>
                <w:rFonts w:ascii="Arial" w:hAnsi="Arial" w:cs="Arial"/>
                <w:sz w:val="20"/>
                <w:szCs w:val="20"/>
              </w:rPr>
            </w:pPr>
            <w:r>
              <w:rPr>
                <w:rFonts w:ascii="Arial" w:hAnsi="Arial" w:cs="Arial"/>
                <w:sz w:val="20"/>
                <w:szCs w:val="20"/>
              </w:rPr>
              <w:t>t</w:t>
            </w:r>
            <w:r w:rsidR="0007722B" w:rsidRPr="0007722B">
              <w:rPr>
                <w:rFonts w:ascii="Arial" w:hAnsi="Arial" w:cs="Arial"/>
                <w:sz w:val="20"/>
                <w:szCs w:val="20"/>
              </w:rPr>
              <w:t>he UE</w:t>
            </w:r>
          </w:p>
          <w:p w14:paraId="5C7296A3" w14:textId="51EC146D" w:rsidR="0007722B" w:rsidRPr="001759C7" w:rsidRDefault="0007722B" w:rsidP="003B2295">
            <w:pPr>
              <w:jc w:val="both"/>
            </w:pPr>
            <w:r>
              <w:t>- - - - - - - - - - - - - - - - &lt;paragraphs omitted&gt;- - - - - - - - - - - - - - - -</w:t>
            </w:r>
          </w:p>
          <w:p w14:paraId="26AE3B22" w14:textId="77777777" w:rsidR="0007722B" w:rsidRPr="0007722B" w:rsidRDefault="0007722B" w:rsidP="003B2295">
            <w:pPr>
              <w:pStyle w:val="B1"/>
              <w:rPr>
                <w:rFonts w:ascii="Arial" w:hAnsi="Arial" w:cs="Arial"/>
                <w:sz w:val="20"/>
                <w:szCs w:val="20"/>
                <w:lang w:val="en-GB"/>
              </w:rPr>
            </w:pPr>
            <w:r w:rsidRPr="0007722B">
              <w:rPr>
                <w:rFonts w:ascii="Arial" w:hAnsi="Arial" w:cs="Arial"/>
                <w:sz w:val="20"/>
                <w:szCs w:val="20"/>
              </w:rPr>
              <w:t>-</w:t>
            </w:r>
            <w:r w:rsidRPr="0007722B">
              <w:rPr>
                <w:rFonts w:ascii="Arial" w:hAnsi="Arial" w:cs="Arial"/>
                <w:sz w:val="20"/>
                <w:szCs w:val="20"/>
              </w:rPr>
              <w:tab/>
            </w:r>
            <w:r w:rsidRPr="00272E8A">
              <w:rPr>
                <w:rFonts w:ascii="Arial" w:hAnsi="Arial" w:cs="Arial"/>
                <w:sz w:val="20"/>
                <w:szCs w:val="20"/>
              </w:rPr>
              <w:t>does not expect to detect a first DCI format scheduling a transmission or reception on a symbol on a first cell and a second DCI format scheduling</w:t>
            </w:r>
            <w:r w:rsidRPr="0007722B">
              <w:rPr>
                <w:rFonts w:ascii="Arial" w:hAnsi="Arial" w:cs="Arial"/>
                <w:sz w:val="20"/>
                <w:szCs w:val="20"/>
              </w:rPr>
              <w:t xml:space="preserve"> a reception or transmission on the symbol on a second cell, respectively.</w:t>
            </w:r>
          </w:p>
          <w:p w14:paraId="7D6C1FDC" w14:textId="5B3957D5" w:rsidR="0007722B" w:rsidRPr="0007722B" w:rsidRDefault="0007722B" w:rsidP="003B2295">
            <w:pPr>
              <w:pStyle w:val="B1"/>
              <w:ind w:left="0" w:firstLine="0"/>
              <w:rPr>
                <w:rFonts w:ascii="Arial" w:hAnsi="Arial" w:cs="Arial"/>
                <w:sz w:val="20"/>
                <w:szCs w:val="20"/>
              </w:rPr>
            </w:pPr>
            <w:r w:rsidRPr="0007722B">
              <w:rPr>
                <w:rFonts w:ascii="Arial" w:hAnsi="Arial" w:cs="Arial"/>
                <w:sz w:val="20"/>
                <w:szCs w:val="20"/>
              </w:rPr>
              <w:lastRenderedPageBreak/>
              <w:t xml:space="preserve"> </w:t>
            </w:r>
          </w:p>
          <w:p w14:paraId="60911968" w14:textId="12B39953" w:rsidR="0007722B" w:rsidRPr="00B26856" w:rsidRDefault="0007722B" w:rsidP="003B2295">
            <w:pPr>
              <w:jc w:val="both"/>
              <w:rPr>
                <w:rFonts w:cs="Arial"/>
                <w:sz w:val="20"/>
                <w:szCs w:val="20"/>
              </w:rPr>
            </w:pPr>
            <w:r w:rsidRPr="0007722B">
              <w:rPr>
                <w:rFonts w:cs="Arial"/>
                <w:sz w:val="20"/>
                <w:szCs w:val="20"/>
              </w:rPr>
              <w:t xml:space="preserve">After the UE applies the procedures described above for directional collision handling within the set of cells that have been configured with </w:t>
            </w:r>
            <w:r w:rsidRPr="0007722B">
              <w:rPr>
                <w:rFonts w:cs="Arial"/>
                <w:i/>
                <w:iCs/>
                <w:sz w:val="20"/>
                <w:szCs w:val="20"/>
              </w:rPr>
              <w:t>directionalCollisionHandling-r16</w:t>
            </w:r>
            <w:r w:rsidRPr="0007722B">
              <w:rPr>
                <w:rFonts w:cs="Arial"/>
                <w:sz w:val="20"/>
                <w:szCs w:val="20"/>
              </w:rPr>
              <w:t>, the UE does not expect any directional collision among the serving cells that the UE is not capable of simultaneous transmission and reception.</w:t>
            </w:r>
          </w:p>
        </w:tc>
      </w:tr>
    </w:tbl>
    <w:p w14:paraId="4F24EC05" w14:textId="0CDA2177" w:rsidR="00024505" w:rsidRDefault="00024505" w:rsidP="003B2295">
      <w:pPr>
        <w:spacing w:before="240"/>
        <w:jc w:val="both"/>
      </w:pPr>
      <w:r w:rsidRPr="00521A4E">
        <w:lastRenderedPageBreak/>
        <w:t xml:space="preserve">Following the Rel-16 directional collision handling framework we propose to introduce the following capabilities for directional collision handling in </w:t>
      </w:r>
      <w:r w:rsidRPr="00B341B8">
        <w:t>IAB inter-donor and intra-donor DC scenarios:</w:t>
      </w:r>
    </w:p>
    <w:p w14:paraId="63217789" w14:textId="77777777" w:rsidR="00363A62" w:rsidRDefault="00363A62" w:rsidP="003B2295">
      <w:pPr>
        <w:pStyle w:val="Proposal"/>
        <w:tabs>
          <w:tab w:val="clear" w:pos="1872"/>
        </w:tabs>
        <w:ind w:left="1304"/>
        <w:rPr>
          <w:lang w:eastAsia="ja-JP"/>
        </w:rPr>
      </w:pPr>
      <w:bookmarkStart w:id="89" w:name="_Toc95772018"/>
      <w:r>
        <w:t>For directional collision handling in IAB inter-donor and intra-donor DC scenarios, introduce the following capabilities and RRC parameters:</w:t>
      </w:r>
      <w:r w:rsidRPr="00363A62">
        <w:t xml:space="preserve"> </w:t>
      </w:r>
      <w:r>
        <w:t>TX</w:t>
      </w:r>
      <w:r w:rsidRPr="00086F91">
        <w:rPr>
          <w:lang w:eastAsia="ja-JP"/>
        </w:rPr>
        <w:t>.</w:t>
      </w:r>
      <w:bookmarkEnd w:id="89"/>
    </w:p>
    <w:p w14:paraId="28DEDF70" w14:textId="77777777" w:rsidR="00363A62" w:rsidRDefault="00363A62" w:rsidP="003B2295">
      <w:pPr>
        <w:pStyle w:val="Proposal"/>
        <w:numPr>
          <w:ilvl w:val="1"/>
          <w:numId w:val="2"/>
        </w:numPr>
        <w:rPr>
          <w:lang w:eastAsia="ja-JP"/>
        </w:rPr>
      </w:pPr>
      <w:bookmarkStart w:id="90" w:name="_Toc95772019"/>
      <w:proofErr w:type="spellStart"/>
      <w:r>
        <w:t>simultaneousRXTXIABInterDonorDC</w:t>
      </w:r>
      <w:proofErr w:type="spellEnd"/>
      <w:r>
        <w:t xml:space="preserve"> capability</w:t>
      </w:r>
      <w:bookmarkEnd w:id="90"/>
    </w:p>
    <w:p w14:paraId="309BFE04" w14:textId="77777777" w:rsidR="00363A62" w:rsidRDefault="00363A62" w:rsidP="003B2295">
      <w:pPr>
        <w:pStyle w:val="Proposal"/>
        <w:numPr>
          <w:ilvl w:val="1"/>
          <w:numId w:val="2"/>
        </w:numPr>
        <w:rPr>
          <w:lang w:eastAsia="ja-JP"/>
        </w:rPr>
      </w:pPr>
      <w:bookmarkStart w:id="91" w:name="_Toc95772020"/>
      <w:proofErr w:type="spellStart"/>
      <w:r>
        <w:t>simultaneousRXTXIABIntraDonorDC</w:t>
      </w:r>
      <w:proofErr w:type="spellEnd"/>
      <w:r>
        <w:t xml:space="preserve"> capability</w:t>
      </w:r>
      <w:bookmarkEnd w:id="91"/>
    </w:p>
    <w:p w14:paraId="097729A9" w14:textId="01CD0095" w:rsidR="00363A62" w:rsidRDefault="00363A62" w:rsidP="003B2295">
      <w:pPr>
        <w:pStyle w:val="Proposal"/>
        <w:numPr>
          <w:ilvl w:val="1"/>
          <w:numId w:val="2"/>
        </w:numPr>
        <w:rPr>
          <w:lang w:eastAsia="ja-JP"/>
        </w:rPr>
      </w:pPr>
      <w:bookmarkStart w:id="92" w:name="_Toc95772021"/>
      <w:r>
        <w:t>half-DuplexTDD-IABNRDC-r17 capability</w:t>
      </w:r>
      <w:bookmarkEnd w:id="92"/>
    </w:p>
    <w:p w14:paraId="73B8C829" w14:textId="77777777" w:rsidR="00363A62" w:rsidRDefault="00363A62" w:rsidP="003B2295">
      <w:pPr>
        <w:pStyle w:val="Heading2"/>
        <w:jc w:val="both"/>
      </w:pPr>
      <w:r>
        <w:t>Availability Indication</w:t>
      </w:r>
    </w:p>
    <w:p w14:paraId="2E252ED6" w14:textId="62A9CB01" w:rsidR="00102F85" w:rsidRPr="00363A62" w:rsidRDefault="00363A62" w:rsidP="003B2295">
      <w:pPr>
        <w:jc w:val="both"/>
      </w:pPr>
      <w:r>
        <w:t>In RAN1 #105-e, the following agreements were made regarding DCI format 2_5 indication for an IAB-MT with multiple serving cells (including the case with two parent nodes) [5]:</w:t>
      </w:r>
    </w:p>
    <w:tbl>
      <w:tblPr>
        <w:tblStyle w:val="TableGrid"/>
        <w:tblW w:w="0" w:type="auto"/>
        <w:tblLook w:val="04A0" w:firstRow="1" w:lastRow="0" w:firstColumn="1" w:lastColumn="0" w:noHBand="0" w:noVBand="1"/>
      </w:tblPr>
      <w:tblGrid>
        <w:gridCol w:w="9629"/>
      </w:tblGrid>
      <w:tr w:rsidR="00102F85" w:rsidRPr="00087AB3" w14:paraId="02D00400" w14:textId="77777777" w:rsidTr="00C27B27">
        <w:tc>
          <w:tcPr>
            <w:tcW w:w="9629" w:type="dxa"/>
          </w:tcPr>
          <w:p w14:paraId="78B2CD2E" w14:textId="77777777" w:rsidR="00102F85" w:rsidRPr="00102F85" w:rsidRDefault="00102F85" w:rsidP="003B2295">
            <w:pPr>
              <w:jc w:val="both"/>
              <w:rPr>
                <w:sz w:val="20"/>
                <w:szCs w:val="20"/>
                <w:lang w:val="en-GB"/>
              </w:rPr>
            </w:pPr>
            <w:bookmarkStart w:id="93" w:name="_Hlk86928344"/>
            <w:r w:rsidRPr="00102F85">
              <w:rPr>
                <w:b/>
                <w:bCs/>
                <w:sz w:val="20"/>
                <w:szCs w:val="20"/>
                <w:highlight w:val="green"/>
                <w:lang w:val="en-GB"/>
              </w:rPr>
              <w:t>Agreement</w:t>
            </w:r>
            <w:r w:rsidRPr="00102F85">
              <w:rPr>
                <w:b/>
                <w:bCs/>
                <w:sz w:val="20"/>
                <w:szCs w:val="20"/>
                <w:lang w:val="en-GB"/>
              </w:rPr>
              <w:t xml:space="preserve"> </w:t>
            </w:r>
          </w:p>
          <w:p w14:paraId="7E764E53" w14:textId="77777777" w:rsidR="00102F85" w:rsidRPr="00102F85" w:rsidRDefault="00102F85" w:rsidP="003B2295">
            <w:pPr>
              <w:jc w:val="both"/>
              <w:rPr>
                <w:sz w:val="20"/>
                <w:szCs w:val="20"/>
                <w:lang w:val="en-GB"/>
              </w:rPr>
            </w:pPr>
            <w:r w:rsidRPr="00102F85">
              <w:rPr>
                <w:sz w:val="20"/>
                <w:szCs w:val="20"/>
                <w:lang w:val="en-GB"/>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1BA7C6A8" w14:textId="77777777" w:rsidR="00102F85" w:rsidRPr="00102F85" w:rsidRDefault="00102F85" w:rsidP="003B2295">
            <w:pPr>
              <w:numPr>
                <w:ilvl w:val="0"/>
                <w:numId w:val="21"/>
              </w:numPr>
              <w:spacing w:line="256" w:lineRule="auto"/>
              <w:jc w:val="both"/>
              <w:rPr>
                <w:sz w:val="20"/>
                <w:szCs w:val="20"/>
                <w:lang w:val="en-GB"/>
              </w:rPr>
            </w:pPr>
            <w:r w:rsidRPr="00102F85">
              <w:rPr>
                <w:sz w:val="20"/>
                <w:szCs w:val="20"/>
                <w:lang w:val="en-GB"/>
              </w:rPr>
              <w:t>If the IAB-DU per-cell soft resource neither explicitly indicated as Available, nor implicitly determined as Available by the IAB-DU with respect to at least one serving cell</w:t>
            </w:r>
          </w:p>
          <w:p w14:paraId="0E7CE24B" w14:textId="77777777" w:rsidR="00102F85" w:rsidRPr="00102F85" w:rsidRDefault="00102F85" w:rsidP="003B2295">
            <w:pPr>
              <w:jc w:val="both"/>
              <w:rPr>
                <w:sz w:val="20"/>
                <w:szCs w:val="20"/>
                <w:lang w:val="en-GB"/>
              </w:rPr>
            </w:pPr>
            <w:r w:rsidRPr="00102F85">
              <w:rPr>
                <w:sz w:val="20"/>
                <w:szCs w:val="20"/>
                <w:lang w:val="en-GB"/>
              </w:rPr>
              <w:t>Alt 1. The IAB-DU per-cell resource is assumed to be not available</w:t>
            </w:r>
          </w:p>
          <w:p w14:paraId="15EB66B6" w14:textId="78B69E73" w:rsidR="00102F85" w:rsidRPr="00102F85" w:rsidRDefault="00102F85" w:rsidP="003B2295">
            <w:pPr>
              <w:numPr>
                <w:ilvl w:val="0"/>
                <w:numId w:val="21"/>
              </w:numPr>
              <w:spacing w:line="256" w:lineRule="auto"/>
              <w:jc w:val="both"/>
              <w:rPr>
                <w:lang w:val="en-GB"/>
              </w:rPr>
            </w:pPr>
            <w:r w:rsidRPr="00102F85">
              <w:rPr>
                <w:sz w:val="20"/>
                <w:szCs w:val="20"/>
                <w:lang w:val="en-GB"/>
              </w:rPr>
              <w:t>This agreement does not necessarily mean the Rel-16 spec does not support what is described in the main bullet</w:t>
            </w:r>
            <w:bookmarkEnd w:id="93"/>
          </w:p>
        </w:tc>
      </w:tr>
    </w:tbl>
    <w:p w14:paraId="69198865" w14:textId="2BFE7D0F" w:rsidR="00102F85" w:rsidRPr="00E80B81" w:rsidRDefault="00E80B81" w:rsidP="003B2295">
      <w:pPr>
        <w:spacing w:before="240"/>
        <w:jc w:val="both"/>
        <w:rPr>
          <w:lang w:val="en-CA"/>
        </w:rPr>
      </w:pPr>
      <w:r>
        <w:t>However,</w:t>
      </w:r>
      <w:r w:rsidR="00102F85">
        <w:t xml:space="preserve"> </w:t>
      </w:r>
      <w:r>
        <w:t xml:space="preserve">according to </w:t>
      </w:r>
      <w:r w:rsidR="00102F85">
        <w:t>the latest CR for TS 38.213</w:t>
      </w:r>
      <w:r>
        <w:t xml:space="preserve"> </w:t>
      </w:r>
      <w:r>
        <w:fldChar w:fldCharType="begin"/>
      </w:r>
      <w:r>
        <w:instrText xml:space="preserve"> REF _Ref89867068 \r \h </w:instrText>
      </w:r>
      <w:r w:rsidR="009C54D2">
        <w:instrText xml:space="preserve"> \* MERGEFORMAT </w:instrText>
      </w:r>
      <w:r>
        <w:fldChar w:fldCharType="separate"/>
      </w:r>
      <w:r w:rsidR="003B2295">
        <w:t>[9]</w:t>
      </w:r>
      <w:r>
        <w:fldChar w:fldCharType="end"/>
      </w:r>
      <w:r w:rsidR="00A73546">
        <w:t xml:space="preserve"> and the updated TS 38.213 </w:t>
      </w:r>
      <w:r w:rsidR="00A73546">
        <w:fldChar w:fldCharType="begin"/>
      </w:r>
      <w:r w:rsidR="00A73546">
        <w:instrText xml:space="preserve"> REF _Ref71662548 \r \h </w:instrText>
      </w:r>
      <w:r w:rsidR="009C54D2">
        <w:instrText xml:space="preserve"> \* MERGEFORMAT </w:instrText>
      </w:r>
      <w:r w:rsidR="00A73546">
        <w:fldChar w:fldCharType="separate"/>
      </w:r>
      <w:r w:rsidR="003B2295">
        <w:t>[8]</w:t>
      </w:r>
      <w:r w:rsidR="00A73546">
        <w:fldChar w:fldCharType="end"/>
      </w:r>
      <w:r>
        <w:t xml:space="preserve">, the specification text is not aligned with the above agreement. For an IAB-MT with multiple serving cells, the agreement requires some form of indicated or determined availability </w:t>
      </w:r>
      <w:r>
        <w:rPr>
          <w:i/>
          <w:iCs/>
        </w:rPr>
        <w:t xml:space="preserve">with </w:t>
      </w:r>
      <w:r>
        <w:rPr>
          <w:i/>
          <w:iCs/>
          <w:lang w:val="en-CA"/>
        </w:rPr>
        <w:t>respect to all serving cells</w:t>
      </w:r>
      <w:r>
        <w:rPr>
          <w:lang w:val="en-CA"/>
        </w:rPr>
        <w:t xml:space="preserve">. That is, if the </w:t>
      </w:r>
      <w:r w:rsidR="00E1327A">
        <w:rPr>
          <w:lang w:val="en-CA"/>
        </w:rPr>
        <w:t>IAB-</w:t>
      </w:r>
      <w:r>
        <w:rPr>
          <w:lang w:val="en-CA"/>
        </w:rPr>
        <w:t xml:space="preserve">MT has two serving cells, one from each parent, a soft resource requires availability </w:t>
      </w:r>
      <w:r>
        <w:rPr>
          <w:i/>
          <w:iCs/>
          <w:lang w:val="en-CA"/>
        </w:rPr>
        <w:t>from both (i.e., all) parents</w:t>
      </w:r>
      <w:r>
        <w:rPr>
          <w:lang w:val="en-CA"/>
        </w:rPr>
        <w:t xml:space="preserve">. With the current text proposal (“from at least one serving cell”), availability from only one parent node would be sufficient for the resource to be considered available. </w:t>
      </w:r>
    </w:p>
    <w:tbl>
      <w:tblPr>
        <w:tblStyle w:val="TableGrid"/>
        <w:tblW w:w="0" w:type="auto"/>
        <w:tblLook w:val="04A0" w:firstRow="1" w:lastRow="0" w:firstColumn="1" w:lastColumn="0" w:noHBand="0" w:noVBand="1"/>
      </w:tblPr>
      <w:tblGrid>
        <w:gridCol w:w="9629"/>
      </w:tblGrid>
      <w:tr w:rsidR="00E31D55" w:rsidRPr="00087AB3" w14:paraId="0BBF5B38" w14:textId="77777777" w:rsidTr="00C27B27">
        <w:tc>
          <w:tcPr>
            <w:tcW w:w="9629" w:type="dxa"/>
          </w:tcPr>
          <w:p w14:paraId="5DA6A586" w14:textId="588F1A2A" w:rsidR="00E31D55" w:rsidRPr="00A8063D" w:rsidRDefault="00E31D55" w:rsidP="003B2295">
            <w:pPr>
              <w:tabs>
                <w:tab w:val="left" w:pos="720"/>
              </w:tabs>
              <w:spacing w:line="240" w:lineRule="auto"/>
              <w:contextualSpacing/>
              <w:jc w:val="both"/>
              <w:rPr>
                <w:rFonts w:cs="Arial"/>
                <w:b/>
                <w:bCs/>
                <w:color w:val="000000"/>
                <w:sz w:val="20"/>
                <w:szCs w:val="20"/>
                <w:lang w:val="en-GB"/>
              </w:rPr>
            </w:pPr>
            <w:r>
              <w:t xml:space="preserve">Extract from TS 38.213 </w:t>
            </w:r>
            <w:r w:rsidR="00A73546">
              <w:fldChar w:fldCharType="begin"/>
            </w:r>
            <w:r w:rsidR="00A73546">
              <w:instrText xml:space="preserve"> REF _Ref71662548 \r \h </w:instrText>
            </w:r>
            <w:r w:rsidR="009C54D2">
              <w:instrText xml:space="preserve"> \* MERGEFORMAT </w:instrText>
            </w:r>
            <w:r w:rsidR="00A73546">
              <w:fldChar w:fldCharType="separate"/>
            </w:r>
            <w:r w:rsidR="003B2295">
              <w:t>[8]</w:t>
            </w:r>
            <w:r w:rsidR="00A73546">
              <w:fldChar w:fldCharType="end"/>
            </w:r>
          </w:p>
          <w:p w14:paraId="6C9E1FC3" w14:textId="77777777" w:rsidR="00E31D55" w:rsidRDefault="00E31D55" w:rsidP="003B2295">
            <w:pPr>
              <w:jc w:val="both"/>
              <w:rPr>
                <w:rFonts w:cs="Arial"/>
                <w:sz w:val="20"/>
                <w:szCs w:val="20"/>
              </w:rPr>
            </w:pPr>
          </w:p>
          <w:p w14:paraId="597E32E6" w14:textId="77777777" w:rsidR="009A2B38" w:rsidRPr="007301E2" w:rsidRDefault="009A2B38" w:rsidP="003B2295">
            <w:pPr>
              <w:jc w:val="both"/>
              <w:rPr>
                <w:rFonts w:eastAsia="SimSun"/>
                <w:iCs/>
                <w:sz w:val="20"/>
                <w:szCs w:val="20"/>
              </w:rPr>
            </w:pPr>
            <w:r w:rsidRPr="007301E2">
              <w:rPr>
                <w:rFonts w:eastAsia="SimSun"/>
                <w:sz w:val="20"/>
                <w:szCs w:val="20"/>
              </w:rPr>
              <w:t>When a downlink, uplink, or flexible symbol is configured as soft, the IAB-DU cell can respectively transmit, receive or either transmit or receive in the symbol only if</w:t>
            </w:r>
          </w:p>
          <w:p w14:paraId="5973831C" w14:textId="77777777" w:rsidR="009A2B38" w:rsidRPr="007301E2" w:rsidRDefault="009A2B38" w:rsidP="003B2295">
            <w:pPr>
              <w:ind w:left="568" w:hanging="284"/>
              <w:jc w:val="both"/>
              <w:rPr>
                <w:rFonts w:eastAsia="SimSun"/>
                <w:sz w:val="20"/>
                <w:szCs w:val="20"/>
                <w:lang w:val="x-none"/>
              </w:rPr>
            </w:pPr>
            <w:r w:rsidRPr="007301E2">
              <w:rPr>
                <w:rFonts w:eastAsia="SimSun"/>
                <w:sz w:val="20"/>
                <w:szCs w:val="20"/>
                <w:lang w:val="x-none"/>
              </w:rPr>
              <w:t>-</w:t>
            </w:r>
            <w:r w:rsidRPr="007301E2">
              <w:rPr>
                <w:rFonts w:eastAsia="SimSun"/>
                <w:sz w:val="20"/>
                <w:szCs w:val="20"/>
                <w:lang w:val="x-none"/>
              </w:rPr>
              <w:tab/>
              <w:t xml:space="preserve">the IAB-MT does not transmit or receive </w:t>
            </w:r>
            <w:r w:rsidRPr="007301E2">
              <w:rPr>
                <w:rFonts w:eastAsia="SimSun"/>
                <w:sz w:val="20"/>
                <w:szCs w:val="20"/>
              </w:rPr>
              <w:t>during</w:t>
            </w:r>
            <w:r w:rsidRPr="007301E2">
              <w:rPr>
                <w:rFonts w:eastAsia="SimSun"/>
                <w:sz w:val="20"/>
                <w:szCs w:val="20"/>
                <w:lang w:val="x-none"/>
              </w:rPr>
              <w:t xml:space="preserve"> the symbol</w:t>
            </w:r>
            <w:r w:rsidRPr="007301E2">
              <w:rPr>
                <w:rFonts w:eastAsia="SimSun"/>
                <w:sz w:val="20"/>
                <w:szCs w:val="20"/>
              </w:rPr>
              <w:t xml:space="preserve"> </w:t>
            </w:r>
            <w:r w:rsidRPr="007301E2">
              <w:rPr>
                <w:rFonts w:eastAsia="SimSun"/>
                <w:sz w:val="20"/>
                <w:szCs w:val="20"/>
                <w:lang w:val="x-none"/>
              </w:rPr>
              <w:t>of the IAB-DU cell, or</w:t>
            </w:r>
          </w:p>
          <w:p w14:paraId="3B499AEA" w14:textId="636CA6B7" w:rsidR="009A2B38" w:rsidRPr="007301E2" w:rsidRDefault="009A2B38" w:rsidP="003B2295">
            <w:pPr>
              <w:ind w:left="568" w:hanging="284"/>
              <w:jc w:val="both"/>
              <w:rPr>
                <w:rFonts w:eastAsia="SimSun"/>
                <w:sz w:val="20"/>
                <w:szCs w:val="20"/>
                <w:lang w:val="x-none"/>
              </w:rPr>
            </w:pPr>
            <w:r w:rsidRPr="007301E2">
              <w:rPr>
                <w:rFonts w:eastAsia="SimSun"/>
                <w:sz w:val="20"/>
                <w:szCs w:val="20"/>
                <w:lang w:val="x-none"/>
              </w:rPr>
              <w:t>-</w:t>
            </w:r>
            <w:r w:rsidRPr="007301E2">
              <w:rPr>
                <w:rFonts w:eastAsia="SimSun"/>
                <w:sz w:val="20"/>
                <w:szCs w:val="20"/>
                <w:lang w:val="x-none"/>
              </w:rPr>
              <w:tab/>
            </w:r>
            <w:r w:rsidRPr="007301E2">
              <w:rPr>
                <w:rFonts w:eastAsia="SimSun"/>
                <w:sz w:val="20"/>
                <w:szCs w:val="20"/>
              </w:rPr>
              <w:t>with respect to all serving cells</w:t>
            </w:r>
          </w:p>
          <w:p w14:paraId="11C8D176" w14:textId="77777777" w:rsidR="009A2B38" w:rsidRPr="007301E2" w:rsidRDefault="009A2B38" w:rsidP="003B2295">
            <w:pPr>
              <w:ind w:left="852" w:hanging="284"/>
              <w:jc w:val="both"/>
              <w:rPr>
                <w:rFonts w:eastAsia="SimSun"/>
                <w:sz w:val="20"/>
                <w:szCs w:val="20"/>
                <w:lang w:val="x-none"/>
              </w:rPr>
            </w:pPr>
            <w:r w:rsidRPr="007301E2">
              <w:rPr>
                <w:rFonts w:eastAsia="SimSun"/>
                <w:sz w:val="20"/>
                <w:szCs w:val="20"/>
                <w:lang w:val="x-none"/>
              </w:rPr>
              <w:t>-</w:t>
            </w:r>
            <w:r w:rsidRPr="007301E2">
              <w:rPr>
                <w:rFonts w:eastAsia="SimSun"/>
                <w:sz w:val="20"/>
                <w:szCs w:val="20"/>
                <w:lang w:val="x-none"/>
              </w:rPr>
              <w:tab/>
              <w:t xml:space="preserve">the IAB-MT would transmit or receive </w:t>
            </w:r>
            <w:r w:rsidRPr="007301E2">
              <w:rPr>
                <w:rFonts w:eastAsia="SimSun"/>
                <w:sz w:val="20"/>
                <w:szCs w:val="20"/>
              </w:rPr>
              <w:t>during</w:t>
            </w:r>
            <w:r w:rsidRPr="007301E2">
              <w:rPr>
                <w:rFonts w:eastAsia="SimSun"/>
                <w:sz w:val="20"/>
                <w:szCs w:val="20"/>
                <w:lang w:val="x-none"/>
              </w:rPr>
              <w:t xml:space="preserve"> the symbol</w:t>
            </w:r>
            <w:r w:rsidRPr="007301E2">
              <w:rPr>
                <w:rFonts w:eastAsia="SimSun"/>
                <w:sz w:val="20"/>
                <w:szCs w:val="20"/>
              </w:rPr>
              <w:t xml:space="preserve"> </w:t>
            </w:r>
            <w:r w:rsidRPr="007301E2">
              <w:rPr>
                <w:rFonts w:eastAsia="SimSun"/>
                <w:sz w:val="20"/>
                <w:szCs w:val="20"/>
                <w:lang w:val="x-none"/>
              </w:rPr>
              <w:t xml:space="preserve">of the IAB-DU cell, and the transmission or reception </w:t>
            </w:r>
            <w:r w:rsidRPr="007301E2">
              <w:rPr>
                <w:rFonts w:eastAsia="SimSun"/>
                <w:sz w:val="20"/>
                <w:szCs w:val="20"/>
              </w:rPr>
              <w:t>during</w:t>
            </w:r>
            <w:r w:rsidRPr="007301E2">
              <w:rPr>
                <w:rFonts w:eastAsia="SimSun"/>
                <w:sz w:val="20"/>
                <w:szCs w:val="20"/>
                <w:lang w:val="x-none"/>
              </w:rPr>
              <w:t xml:space="preserve"> the symbol of the IAB-DU cell is not changed due to a use of the symbol by the IAB-DU, or</w:t>
            </w:r>
          </w:p>
          <w:p w14:paraId="31D9CDF7" w14:textId="478FA7E5" w:rsidR="00E31D55" w:rsidRPr="00E80B81" w:rsidRDefault="009A2B38" w:rsidP="003B2295">
            <w:pPr>
              <w:ind w:left="852" w:hanging="284"/>
              <w:jc w:val="both"/>
              <w:rPr>
                <w:rFonts w:eastAsia="SimSun"/>
                <w:sz w:val="20"/>
                <w:szCs w:val="20"/>
                <w:lang w:val="x-none"/>
              </w:rPr>
            </w:pPr>
            <w:r w:rsidRPr="007301E2">
              <w:rPr>
                <w:rFonts w:eastAsia="SimSun"/>
                <w:sz w:val="20"/>
                <w:szCs w:val="20"/>
                <w:lang w:val="x-none"/>
              </w:rPr>
              <w:t>-</w:t>
            </w:r>
            <w:r w:rsidRPr="007301E2">
              <w:rPr>
                <w:rFonts w:eastAsia="SimSun"/>
                <w:sz w:val="20"/>
                <w:szCs w:val="20"/>
                <w:lang w:val="x-none"/>
              </w:rPr>
              <w:tab/>
              <w:t>the IAB-</w:t>
            </w:r>
            <w:r w:rsidRPr="007301E2">
              <w:rPr>
                <w:rFonts w:eastAsia="SimSun"/>
                <w:sz w:val="20"/>
                <w:szCs w:val="20"/>
              </w:rPr>
              <w:t>MT</w:t>
            </w:r>
            <w:r w:rsidRPr="007301E2">
              <w:rPr>
                <w:rFonts w:eastAsia="SimSun"/>
                <w:sz w:val="20"/>
                <w:szCs w:val="20"/>
                <w:lang w:val="x-none"/>
              </w:rPr>
              <w:t xml:space="preserve"> detects a DCI format 2_5 with an </w:t>
            </w:r>
            <w:r w:rsidRPr="007301E2">
              <w:rPr>
                <w:rFonts w:eastAsia="SimSun"/>
                <w:sz w:val="20"/>
                <w:szCs w:val="20"/>
                <w:lang w:val="x-none" w:eastAsia="zh-CN"/>
              </w:rPr>
              <w:t xml:space="preserve">AI index field value </w:t>
            </w:r>
            <w:r w:rsidRPr="007301E2">
              <w:rPr>
                <w:rFonts w:eastAsia="SimSun"/>
                <w:sz w:val="20"/>
                <w:szCs w:val="20"/>
                <w:lang w:val="x-none"/>
              </w:rPr>
              <w:t>indicating the soft symbol as available</w:t>
            </w:r>
            <w:r w:rsidRPr="007301E2">
              <w:rPr>
                <w:rFonts w:eastAsia="SimSun"/>
                <w:sz w:val="20"/>
                <w:szCs w:val="20"/>
                <w:lang w:val="en-CA"/>
              </w:rPr>
              <w:t xml:space="preserve"> from at least one serving cell</w:t>
            </w:r>
          </w:p>
        </w:tc>
      </w:tr>
    </w:tbl>
    <w:p w14:paraId="3545C142" w14:textId="64EF32AB" w:rsidR="00E80B81" w:rsidRDefault="00F9018C" w:rsidP="003B2295">
      <w:pPr>
        <w:spacing w:before="240"/>
        <w:jc w:val="both"/>
      </w:pPr>
      <w:r>
        <w:lastRenderedPageBreak/>
        <w:t>Based on the above observation, w</w:t>
      </w:r>
      <w:r w:rsidR="00E80B81">
        <w:t xml:space="preserve">e propose the following text change to </w:t>
      </w:r>
      <w:r>
        <w:t>TS 28.213.</w:t>
      </w:r>
    </w:p>
    <w:p w14:paraId="51C37EE4" w14:textId="5C573440" w:rsidR="00E80B81" w:rsidRDefault="00E80B81" w:rsidP="003B2295">
      <w:pPr>
        <w:pStyle w:val="Proposal"/>
        <w:tabs>
          <w:tab w:val="clear" w:pos="1872"/>
        </w:tabs>
        <w:ind w:left="1304"/>
      </w:pPr>
      <w:bookmarkStart w:id="94" w:name="_Toc95772022"/>
      <w:r>
        <w:t xml:space="preserve">RAN1 adopt the following text </w:t>
      </w:r>
      <w:r w:rsidR="00F9018C">
        <w:t xml:space="preserve">changes on DCI format 2_5 indication </w:t>
      </w:r>
      <w:r w:rsidR="00F9018C">
        <w:rPr>
          <w:rFonts w:cs="Arial"/>
          <w:szCs w:val="20"/>
        </w:rPr>
        <w:t>for an IAB-MT with multiple serving cells:</w:t>
      </w:r>
      <w:bookmarkEnd w:id="94"/>
    </w:p>
    <w:tbl>
      <w:tblPr>
        <w:tblStyle w:val="TableGrid"/>
        <w:tblW w:w="0" w:type="auto"/>
        <w:tblLook w:val="04A0" w:firstRow="1" w:lastRow="0" w:firstColumn="1" w:lastColumn="0" w:noHBand="0" w:noVBand="1"/>
      </w:tblPr>
      <w:tblGrid>
        <w:gridCol w:w="9629"/>
      </w:tblGrid>
      <w:tr w:rsidR="00E80B81" w:rsidRPr="00087AB3" w14:paraId="781101DE" w14:textId="77777777" w:rsidTr="00C27B27">
        <w:tc>
          <w:tcPr>
            <w:tcW w:w="9629" w:type="dxa"/>
          </w:tcPr>
          <w:p w14:paraId="0BBF5083" w14:textId="5E18DFDB" w:rsidR="00E80B81" w:rsidRPr="00A8063D" w:rsidRDefault="00E80B81" w:rsidP="003B2295">
            <w:pPr>
              <w:tabs>
                <w:tab w:val="left" w:pos="720"/>
              </w:tabs>
              <w:spacing w:line="240" w:lineRule="auto"/>
              <w:contextualSpacing/>
              <w:jc w:val="both"/>
              <w:rPr>
                <w:rFonts w:cs="Arial"/>
                <w:b/>
                <w:bCs/>
                <w:color w:val="000000"/>
                <w:sz w:val="20"/>
                <w:szCs w:val="20"/>
                <w:lang w:val="en-GB"/>
              </w:rPr>
            </w:pPr>
            <w:r>
              <w:t xml:space="preserve">Extract from TS 38.213 </w:t>
            </w:r>
            <w:r w:rsidR="00A73546">
              <w:fldChar w:fldCharType="begin"/>
            </w:r>
            <w:r w:rsidR="00A73546">
              <w:instrText xml:space="preserve"> REF _Ref71662548 \r \h </w:instrText>
            </w:r>
            <w:r w:rsidR="009C54D2">
              <w:instrText xml:space="preserve"> \* MERGEFORMAT </w:instrText>
            </w:r>
            <w:r w:rsidR="00A73546">
              <w:fldChar w:fldCharType="separate"/>
            </w:r>
            <w:r w:rsidR="003B2295">
              <w:t>[8]</w:t>
            </w:r>
            <w:r w:rsidR="00A73546">
              <w:fldChar w:fldCharType="end"/>
            </w:r>
          </w:p>
          <w:p w14:paraId="45806A63" w14:textId="77777777" w:rsidR="00E80B81" w:rsidRDefault="00E80B81" w:rsidP="003B2295">
            <w:pPr>
              <w:jc w:val="both"/>
              <w:rPr>
                <w:rFonts w:cs="Arial"/>
                <w:sz w:val="20"/>
                <w:szCs w:val="20"/>
              </w:rPr>
            </w:pPr>
          </w:p>
          <w:p w14:paraId="6A7E25AA" w14:textId="77777777" w:rsidR="00E80B81" w:rsidRPr="007301E2" w:rsidRDefault="00E80B81" w:rsidP="003B2295">
            <w:pPr>
              <w:jc w:val="both"/>
              <w:rPr>
                <w:rFonts w:eastAsia="SimSun"/>
                <w:iCs/>
                <w:sz w:val="20"/>
                <w:szCs w:val="20"/>
              </w:rPr>
            </w:pPr>
            <w:r w:rsidRPr="007301E2">
              <w:rPr>
                <w:rFonts w:eastAsia="SimSun"/>
                <w:sz w:val="20"/>
                <w:szCs w:val="20"/>
              </w:rPr>
              <w:t>When a downlink, uplink, or flexible symbol is configured as soft, the IAB-DU cell can respectively transmit, receive or either transmit or receive in the symbol only if</w:t>
            </w:r>
          </w:p>
          <w:p w14:paraId="0477D276" w14:textId="77777777" w:rsidR="00E80B81" w:rsidRPr="007301E2" w:rsidRDefault="00E80B81" w:rsidP="003B2295">
            <w:pPr>
              <w:ind w:left="568" w:hanging="284"/>
              <w:jc w:val="both"/>
              <w:rPr>
                <w:rFonts w:eastAsia="SimSun"/>
                <w:sz w:val="20"/>
                <w:szCs w:val="20"/>
                <w:lang w:val="x-none"/>
              </w:rPr>
            </w:pPr>
            <w:r w:rsidRPr="007301E2">
              <w:rPr>
                <w:rFonts w:eastAsia="SimSun"/>
                <w:sz w:val="20"/>
                <w:szCs w:val="20"/>
                <w:lang w:val="x-none"/>
              </w:rPr>
              <w:t>-</w:t>
            </w:r>
            <w:r w:rsidRPr="007301E2">
              <w:rPr>
                <w:rFonts w:eastAsia="SimSun"/>
                <w:sz w:val="20"/>
                <w:szCs w:val="20"/>
                <w:lang w:val="x-none"/>
              </w:rPr>
              <w:tab/>
              <w:t xml:space="preserve">the IAB-MT does not transmit or receive </w:t>
            </w:r>
            <w:r w:rsidRPr="007301E2">
              <w:rPr>
                <w:rFonts w:eastAsia="SimSun"/>
                <w:sz w:val="20"/>
                <w:szCs w:val="20"/>
              </w:rPr>
              <w:t>during</w:t>
            </w:r>
            <w:r w:rsidRPr="007301E2">
              <w:rPr>
                <w:rFonts w:eastAsia="SimSun"/>
                <w:sz w:val="20"/>
                <w:szCs w:val="20"/>
                <w:lang w:val="x-none"/>
              </w:rPr>
              <w:t xml:space="preserve"> the symbol</w:t>
            </w:r>
            <w:r w:rsidRPr="007301E2">
              <w:rPr>
                <w:rFonts w:eastAsia="SimSun"/>
                <w:sz w:val="20"/>
                <w:szCs w:val="20"/>
              </w:rPr>
              <w:t xml:space="preserve"> </w:t>
            </w:r>
            <w:r w:rsidRPr="007301E2">
              <w:rPr>
                <w:rFonts w:eastAsia="SimSun"/>
                <w:sz w:val="20"/>
                <w:szCs w:val="20"/>
                <w:lang w:val="x-none"/>
              </w:rPr>
              <w:t>of the IAB-DU cell, or</w:t>
            </w:r>
          </w:p>
          <w:p w14:paraId="03D1BB55" w14:textId="77777777" w:rsidR="00E80B81" w:rsidRPr="007301E2" w:rsidRDefault="00E80B81" w:rsidP="003B2295">
            <w:pPr>
              <w:ind w:left="568" w:hanging="284"/>
              <w:jc w:val="both"/>
              <w:rPr>
                <w:rFonts w:eastAsia="SimSun"/>
                <w:sz w:val="20"/>
                <w:szCs w:val="20"/>
                <w:lang w:val="x-none"/>
              </w:rPr>
            </w:pPr>
            <w:r w:rsidRPr="007301E2">
              <w:rPr>
                <w:rFonts w:eastAsia="SimSun"/>
                <w:sz w:val="20"/>
                <w:szCs w:val="20"/>
                <w:lang w:val="x-none"/>
              </w:rPr>
              <w:t>-</w:t>
            </w:r>
            <w:r w:rsidRPr="007301E2">
              <w:rPr>
                <w:rFonts w:eastAsia="SimSun"/>
                <w:sz w:val="20"/>
                <w:szCs w:val="20"/>
                <w:lang w:val="x-none"/>
              </w:rPr>
              <w:tab/>
            </w:r>
            <w:r w:rsidRPr="007301E2">
              <w:rPr>
                <w:rFonts w:eastAsia="SimSun"/>
                <w:sz w:val="20"/>
                <w:szCs w:val="20"/>
              </w:rPr>
              <w:t>with respect to all serving cells</w:t>
            </w:r>
          </w:p>
          <w:p w14:paraId="200C63C7" w14:textId="77777777" w:rsidR="00E80B81" w:rsidRPr="007301E2" w:rsidRDefault="00E80B81" w:rsidP="003B2295">
            <w:pPr>
              <w:ind w:left="852" w:hanging="284"/>
              <w:jc w:val="both"/>
              <w:rPr>
                <w:rFonts w:eastAsia="SimSun"/>
                <w:sz w:val="20"/>
                <w:szCs w:val="20"/>
                <w:lang w:val="x-none"/>
              </w:rPr>
            </w:pPr>
            <w:r w:rsidRPr="007301E2">
              <w:rPr>
                <w:rFonts w:eastAsia="SimSun"/>
                <w:sz w:val="20"/>
                <w:szCs w:val="20"/>
                <w:lang w:val="x-none"/>
              </w:rPr>
              <w:t>-</w:t>
            </w:r>
            <w:r w:rsidRPr="007301E2">
              <w:rPr>
                <w:rFonts w:eastAsia="SimSun"/>
                <w:sz w:val="20"/>
                <w:szCs w:val="20"/>
                <w:lang w:val="x-none"/>
              </w:rPr>
              <w:tab/>
              <w:t xml:space="preserve">the IAB-MT would transmit or receive </w:t>
            </w:r>
            <w:r w:rsidRPr="007301E2">
              <w:rPr>
                <w:rFonts w:eastAsia="SimSun"/>
                <w:sz w:val="20"/>
                <w:szCs w:val="20"/>
              </w:rPr>
              <w:t>during</w:t>
            </w:r>
            <w:r w:rsidRPr="007301E2">
              <w:rPr>
                <w:rFonts w:eastAsia="SimSun"/>
                <w:sz w:val="20"/>
                <w:szCs w:val="20"/>
                <w:lang w:val="x-none"/>
              </w:rPr>
              <w:t xml:space="preserve"> the symbol</w:t>
            </w:r>
            <w:r w:rsidRPr="007301E2">
              <w:rPr>
                <w:rFonts w:eastAsia="SimSun"/>
                <w:sz w:val="20"/>
                <w:szCs w:val="20"/>
              </w:rPr>
              <w:t xml:space="preserve"> </w:t>
            </w:r>
            <w:r w:rsidRPr="007301E2">
              <w:rPr>
                <w:rFonts w:eastAsia="SimSun"/>
                <w:sz w:val="20"/>
                <w:szCs w:val="20"/>
                <w:lang w:val="x-none"/>
              </w:rPr>
              <w:t xml:space="preserve">of the IAB-DU cell, and the transmission or reception </w:t>
            </w:r>
            <w:r w:rsidRPr="007301E2">
              <w:rPr>
                <w:rFonts w:eastAsia="SimSun"/>
                <w:sz w:val="20"/>
                <w:szCs w:val="20"/>
              </w:rPr>
              <w:t>during</w:t>
            </w:r>
            <w:r w:rsidRPr="007301E2">
              <w:rPr>
                <w:rFonts w:eastAsia="SimSun"/>
                <w:sz w:val="20"/>
                <w:szCs w:val="20"/>
                <w:lang w:val="x-none"/>
              </w:rPr>
              <w:t xml:space="preserve"> the symbol of the IAB-DU cell is not changed due to a use of the symbol by the IAB-DU, or</w:t>
            </w:r>
          </w:p>
          <w:p w14:paraId="165C901A" w14:textId="77777777" w:rsidR="00E80B81" w:rsidRPr="00E80B81" w:rsidRDefault="00E80B81" w:rsidP="003B2295">
            <w:pPr>
              <w:ind w:left="852" w:hanging="284"/>
              <w:jc w:val="both"/>
              <w:rPr>
                <w:rFonts w:eastAsia="SimSun"/>
                <w:sz w:val="20"/>
                <w:szCs w:val="20"/>
                <w:lang w:val="x-none"/>
              </w:rPr>
            </w:pPr>
            <w:r w:rsidRPr="007301E2">
              <w:rPr>
                <w:rFonts w:eastAsia="SimSun"/>
                <w:sz w:val="20"/>
                <w:szCs w:val="20"/>
                <w:lang w:val="x-none"/>
              </w:rPr>
              <w:t>-</w:t>
            </w:r>
            <w:r w:rsidRPr="007301E2">
              <w:rPr>
                <w:rFonts w:eastAsia="SimSun"/>
                <w:sz w:val="20"/>
                <w:szCs w:val="20"/>
                <w:lang w:val="x-none"/>
              </w:rPr>
              <w:tab/>
              <w:t>the IAB-</w:t>
            </w:r>
            <w:r w:rsidRPr="007301E2">
              <w:rPr>
                <w:rFonts w:eastAsia="SimSun"/>
                <w:sz w:val="20"/>
                <w:szCs w:val="20"/>
              </w:rPr>
              <w:t>MT</w:t>
            </w:r>
            <w:r w:rsidRPr="007301E2">
              <w:rPr>
                <w:rFonts w:eastAsia="SimSun"/>
                <w:sz w:val="20"/>
                <w:szCs w:val="20"/>
                <w:lang w:val="x-none"/>
              </w:rPr>
              <w:t xml:space="preserve"> detects a DCI format 2_5 with an </w:t>
            </w:r>
            <w:r w:rsidRPr="007301E2">
              <w:rPr>
                <w:rFonts w:eastAsia="SimSun"/>
                <w:sz w:val="20"/>
                <w:szCs w:val="20"/>
                <w:lang w:val="x-none" w:eastAsia="zh-CN"/>
              </w:rPr>
              <w:t xml:space="preserve">AI index field value </w:t>
            </w:r>
            <w:r w:rsidRPr="007301E2">
              <w:rPr>
                <w:rFonts w:eastAsia="SimSun"/>
                <w:sz w:val="20"/>
                <w:szCs w:val="20"/>
                <w:lang w:val="x-none"/>
              </w:rPr>
              <w:t>indicating the soft symbol as available</w:t>
            </w:r>
            <w:r w:rsidRPr="007301E2">
              <w:rPr>
                <w:rFonts w:eastAsia="SimSun"/>
                <w:sz w:val="20"/>
                <w:szCs w:val="20"/>
                <w:lang w:val="en-CA"/>
              </w:rPr>
              <w:t xml:space="preserve"> </w:t>
            </w:r>
            <w:r w:rsidRPr="00F9018C">
              <w:rPr>
                <w:rFonts w:eastAsia="SimSun"/>
                <w:strike/>
                <w:color w:val="FF0000"/>
                <w:sz w:val="20"/>
                <w:szCs w:val="20"/>
                <w:lang w:val="en-CA"/>
              </w:rPr>
              <w:t>from at least one serving cell</w:t>
            </w:r>
          </w:p>
        </w:tc>
      </w:tr>
    </w:tbl>
    <w:p w14:paraId="155636AA" w14:textId="77777777" w:rsidR="00E80B81" w:rsidRDefault="00E80B81" w:rsidP="003B2295">
      <w:pPr>
        <w:jc w:val="both"/>
      </w:pPr>
    </w:p>
    <w:p w14:paraId="652DDAB1" w14:textId="77777777" w:rsidR="00C01F33" w:rsidRPr="00087AB3" w:rsidRDefault="00C01F33" w:rsidP="003B2295">
      <w:pPr>
        <w:pStyle w:val="Heading1"/>
        <w:jc w:val="both"/>
        <w:rPr>
          <w:lang w:val="en-US"/>
        </w:rPr>
      </w:pPr>
      <w:r w:rsidRPr="00087AB3">
        <w:rPr>
          <w:lang w:val="en-US"/>
        </w:rPr>
        <w:t>Conclusion</w:t>
      </w:r>
    </w:p>
    <w:p w14:paraId="2B2BB6BC" w14:textId="77777777" w:rsidR="008E065E" w:rsidRPr="00087AB3" w:rsidRDefault="008E065E" w:rsidP="003B2295">
      <w:pPr>
        <w:pStyle w:val="BodyText"/>
        <w:rPr>
          <w:b/>
          <w:bCs/>
        </w:rPr>
      </w:pPr>
      <w:r w:rsidRPr="00087AB3">
        <w:t xml:space="preserve">In </w:t>
      </w:r>
      <w:r w:rsidR="007729A2" w:rsidRPr="00087AB3">
        <w:t xml:space="preserve">the previous </w:t>
      </w:r>
      <w:r w:rsidRPr="00087AB3">
        <w:t>section</w:t>
      </w:r>
      <w:r w:rsidR="007729A2" w:rsidRPr="00087AB3">
        <w:t>s</w:t>
      </w:r>
      <w:r w:rsidRPr="00087AB3">
        <w:t xml:space="preserve"> we made the following observations:</w:t>
      </w:r>
      <w:r w:rsidR="00C93814" w:rsidRPr="00087AB3">
        <w:rPr>
          <w:b/>
          <w:bCs/>
        </w:rPr>
        <w:t xml:space="preserve"> </w:t>
      </w:r>
    </w:p>
    <w:p w14:paraId="0FDE06AB" w14:textId="175248F1" w:rsidR="003B2295" w:rsidRDefault="006F6582" w:rsidP="003B2295">
      <w:pPr>
        <w:pStyle w:val="TableofFigures"/>
        <w:tabs>
          <w:tab w:val="right" w:leader="dot" w:pos="9629"/>
        </w:tabs>
        <w:jc w:val="both"/>
        <w:rPr>
          <w:rFonts w:asciiTheme="minorHAnsi" w:eastAsiaTheme="minorEastAsia" w:hAnsiTheme="minorHAnsi"/>
          <w:b w:val="0"/>
          <w:noProof/>
          <w:sz w:val="22"/>
          <w:lang w:val="en-SE" w:eastAsia="en-SE"/>
        </w:rPr>
      </w:pPr>
      <w:r w:rsidRPr="00087AB3">
        <w:rPr>
          <w:b w:val="0"/>
        </w:rPr>
        <w:fldChar w:fldCharType="begin"/>
      </w:r>
      <w:r w:rsidRPr="00087AB3">
        <w:rPr>
          <w:b w:val="0"/>
          <w:bCs/>
        </w:rPr>
        <w:instrText xml:space="preserve"> TOC \f O \n \h \z \t "Observation" \c </w:instrText>
      </w:r>
      <w:r w:rsidRPr="00087AB3">
        <w:rPr>
          <w:b w:val="0"/>
        </w:rPr>
        <w:fldChar w:fldCharType="separate"/>
      </w:r>
      <w:hyperlink w:anchor="_Toc95771994" w:history="1">
        <w:r w:rsidR="003B2295" w:rsidRPr="00E27F2A">
          <w:rPr>
            <w:rStyle w:val="Hyperlink"/>
            <w:noProof/>
          </w:rPr>
          <w:t>Observation 1</w:t>
        </w:r>
        <w:r w:rsidR="003B2295">
          <w:rPr>
            <w:rFonts w:asciiTheme="minorHAnsi" w:eastAsiaTheme="minorEastAsia" w:hAnsiTheme="minorHAnsi"/>
            <w:b w:val="0"/>
            <w:noProof/>
            <w:sz w:val="22"/>
            <w:lang w:val="en-SE" w:eastAsia="en-SE"/>
          </w:rPr>
          <w:tab/>
        </w:r>
        <w:r w:rsidR="003B2295" w:rsidRPr="00E27F2A">
          <w:rPr>
            <w:rStyle w:val="Hyperlink"/>
            <w:noProof/>
          </w:rPr>
          <w:t>For IAB-DU resources that are outside the IAB-MT’s active BWPs, there is no need to coordinate IAB-MT and IAB-DU resources by providing RB set configuration or H/S/NA configuration.</w:t>
        </w:r>
      </w:hyperlink>
    </w:p>
    <w:p w14:paraId="53B278D4" w14:textId="00C63C6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1995" w:history="1">
        <w:r w:rsidRPr="00E27F2A">
          <w:rPr>
            <w:rStyle w:val="Hyperlink"/>
            <w:noProof/>
          </w:rPr>
          <w:t>Observation 2</w:t>
        </w:r>
        <w:r>
          <w:rPr>
            <w:rFonts w:asciiTheme="minorHAnsi" w:eastAsiaTheme="minorEastAsia" w:hAnsiTheme="minorHAnsi"/>
            <w:b w:val="0"/>
            <w:noProof/>
            <w:sz w:val="22"/>
            <w:lang w:val="en-SE" w:eastAsia="en-SE"/>
          </w:rPr>
          <w:tab/>
        </w:r>
        <w:r w:rsidRPr="00E27F2A">
          <w:rPr>
            <w:rStyle w:val="Hyperlink"/>
            <w:noProof/>
          </w:rPr>
          <w:t>For RB sets which are non-overlapping with the IAB-MT’s active BWP, it is not necessary for the IAB-DU to adhere the configured frequency domain H/S/NA.</w:t>
        </w:r>
      </w:hyperlink>
    </w:p>
    <w:p w14:paraId="00D24B64" w14:textId="592E525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1996" w:history="1">
        <w:r w:rsidRPr="00E27F2A">
          <w:rPr>
            <w:rStyle w:val="Hyperlink"/>
            <w:rFonts w:cs="Arial"/>
            <w:noProof/>
          </w:rPr>
          <w:t>Observation 3</w:t>
        </w:r>
        <w:r>
          <w:rPr>
            <w:rFonts w:asciiTheme="minorHAnsi" w:eastAsiaTheme="minorEastAsia" w:hAnsiTheme="minorHAnsi"/>
            <w:b w:val="0"/>
            <w:noProof/>
            <w:sz w:val="22"/>
            <w:lang w:val="en-SE" w:eastAsia="en-SE"/>
          </w:rPr>
          <w:tab/>
        </w:r>
        <w:r w:rsidRPr="00E27F2A">
          <w:rPr>
            <w:rStyle w:val="Hyperlink"/>
            <w:noProof/>
          </w:rPr>
          <w:t>In the current DCI format 2_5, the number of availability indication can be limited to 14 IAB-DU cells of maximum 512 IAB-DU cells.</w:t>
        </w:r>
      </w:hyperlink>
    </w:p>
    <w:p w14:paraId="245D8491" w14:textId="1EA2DDCC" w:rsidR="006E1C82" w:rsidRPr="00087AB3" w:rsidRDefault="006F6582" w:rsidP="003B2295">
      <w:pPr>
        <w:pStyle w:val="BodyText"/>
        <w:rPr>
          <w:b/>
          <w:bCs/>
        </w:rPr>
      </w:pPr>
      <w:r w:rsidRPr="00087AB3">
        <w:rPr>
          <w:b/>
        </w:rPr>
        <w:fldChar w:fldCharType="end"/>
      </w:r>
    </w:p>
    <w:p w14:paraId="32B380F3" w14:textId="77777777" w:rsidR="006E1C82" w:rsidRPr="00087AB3" w:rsidRDefault="008E065E" w:rsidP="003B2295">
      <w:pPr>
        <w:pStyle w:val="BodyText"/>
      </w:pPr>
      <w:r w:rsidRPr="00087AB3">
        <w:t xml:space="preserve">Based on the discussion in </w:t>
      </w:r>
      <w:r w:rsidR="007729A2" w:rsidRPr="00087AB3">
        <w:t xml:space="preserve">the previous </w:t>
      </w:r>
      <w:r w:rsidRPr="00087AB3">
        <w:t>section</w:t>
      </w:r>
      <w:r w:rsidR="007729A2" w:rsidRPr="00087AB3">
        <w:t>s</w:t>
      </w:r>
      <w:r w:rsidRPr="00087AB3">
        <w:t xml:space="preserve"> we propose the following:</w:t>
      </w:r>
    </w:p>
    <w:p w14:paraId="302E3E7B" w14:textId="77777777" w:rsidR="003B2295" w:rsidRDefault="006E1C82" w:rsidP="003B2295">
      <w:pPr>
        <w:pStyle w:val="TableofFigures"/>
        <w:tabs>
          <w:tab w:val="right" w:leader="dot" w:pos="9629"/>
        </w:tabs>
        <w:jc w:val="both"/>
        <w:rPr>
          <w:rFonts w:asciiTheme="minorHAnsi" w:eastAsiaTheme="minorEastAsia" w:hAnsiTheme="minorHAnsi"/>
          <w:b w:val="0"/>
          <w:noProof/>
          <w:sz w:val="22"/>
          <w:lang w:val="en-SE" w:eastAsia="en-SE"/>
        </w:rPr>
      </w:pPr>
      <w:r w:rsidRPr="00087AB3">
        <w:rPr>
          <w:b w:val="0"/>
        </w:rPr>
        <w:fldChar w:fldCharType="begin"/>
      </w:r>
      <w:r w:rsidRPr="00087AB3">
        <w:rPr>
          <w:b w:val="0"/>
          <w:bCs/>
        </w:rPr>
        <w:instrText xml:space="preserve"> TOC \n \h \z \t "Proposal" \c </w:instrText>
      </w:r>
      <w:r w:rsidRPr="00087AB3">
        <w:rPr>
          <w:b w:val="0"/>
        </w:rPr>
        <w:fldChar w:fldCharType="separate"/>
      </w:r>
      <w:hyperlink w:anchor="_Toc95771997" w:history="1">
        <w:r w:rsidR="003B2295" w:rsidRPr="005B0EB4">
          <w:rPr>
            <w:rStyle w:val="Hyperlink"/>
            <w:noProof/>
            <w:lang w:eastAsia="ja-JP"/>
            <w14:scene3d>
              <w14:camera w14:prst="orthographicFront"/>
              <w14:lightRig w14:rig="threePt" w14:dir="t">
                <w14:rot w14:lat="0" w14:lon="0" w14:rev="0"/>
              </w14:lightRig>
            </w14:scene3d>
          </w:rPr>
          <w:t>Proposal 1</w:t>
        </w:r>
        <w:r w:rsidR="003B2295">
          <w:rPr>
            <w:rFonts w:asciiTheme="minorHAnsi" w:eastAsiaTheme="minorEastAsia" w:hAnsiTheme="minorHAnsi"/>
            <w:b w:val="0"/>
            <w:noProof/>
            <w:sz w:val="22"/>
            <w:lang w:val="en-SE" w:eastAsia="en-SE"/>
          </w:rPr>
          <w:tab/>
        </w:r>
        <w:r w:rsidR="003B2295" w:rsidRPr="005B0EB4">
          <w:rPr>
            <w:rStyle w:val="Hyperlink"/>
            <w:noProof/>
            <w:lang w:eastAsia="ja-JP"/>
          </w:rPr>
          <w:t>RAN1 considers the following three alternatives for the frequency start of the first RB set of the IAB-DU at</w:t>
        </w:r>
      </w:hyperlink>
    </w:p>
    <w:p w14:paraId="791FB32C"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1998" w:history="1">
        <w:r w:rsidRPr="005B0EB4">
          <w:rPr>
            <w:rStyle w:val="Hyperlink"/>
            <w:noProof/>
            <w:lang w:eastAsia="ja-JP"/>
          </w:rPr>
          <w:t>Alt1: the lowest index of RB of the IAB-DU cell</w:t>
        </w:r>
      </w:hyperlink>
    </w:p>
    <w:p w14:paraId="5029A28F"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1999" w:history="1">
        <w:r w:rsidRPr="005B0EB4">
          <w:rPr>
            <w:rStyle w:val="Hyperlink"/>
            <w:noProof/>
            <w:lang w:eastAsia="ja-JP"/>
          </w:rPr>
          <w:t>Alt2: the lowest index of RB of the union of the configured IAB-MT BWPs</w:t>
        </w:r>
      </w:hyperlink>
    </w:p>
    <w:p w14:paraId="684E204A"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00" w:history="1">
        <w:r w:rsidRPr="005B0EB4">
          <w:rPr>
            <w:rStyle w:val="Hyperlink"/>
            <w:noProof/>
            <w:lang w:eastAsia="ja-JP"/>
          </w:rPr>
          <w:t>Alt3: an arbitrary index of RB of the IAB-DU cell</w:t>
        </w:r>
      </w:hyperlink>
    </w:p>
    <w:p w14:paraId="183996A5"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01" w:history="1">
        <w:r w:rsidRPr="005B0EB4">
          <w:rPr>
            <w:rStyle w:val="Hyperlink"/>
            <w:noProof/>
            <w:lang w:eastAsia="en-GB"/>
            <w14:scene3d>
              <w14:camera w14:prst="orthographicFront"/>
              <w14:lightRig w14:rig="threePt" w14:dir="t">
                <w14:rot w14:lat="0" w14:lon="0" w14:rev="0"/>
              </w14:lightRig>
            </w14:scene3d>
          </w:rPr>
          <w:t>Proposal 2</w:t>
        </w:r>
        <w:r>
          <w:rPr>
            <w:rFonts w:asciiTheme="minorHAnsi" w:eastAsiaTheme="minorEastAsia" w:hAnsiTheme="minorHAnsi"/>
            <w:b w:val="0"/>
            <w:noProof/>
            <w:sz w:val="22"/>
            <w:lang w:val="en-SE" w:eastAsia="en-SE"/>
          </w:rPr>
          <w:tab/>
        </w:r>
        <w:r w:rsidRPr="005B0EB4">
          <w:rPr>
            <w:rStyle w:val="Hyperlink"/>
            <w:noProof/>
            <w:lang w:eastAsia="ja-JP"/>
          </w:rPr>
          <w:t>RB sets which are non-overlapping with the IAB-MT’s active BWPs, are treated as Hard IAB-DU resources.</w:t>
        </w:r>
      </w:hyperlink>
    </w:p>
    <w:p w14:paraId="7454F0A9"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02" w:history="1">
        <w:r w:rsidRPr="005B0EB4">
          <w:rPr>
            <w:rStyle w:val="Hyperlink"/>
            <w:noProof/>
            <w:lang w:eastAsia="ja-JP"/>
            <w14:scene3d>
              <w14:camera w14:prst="orthographicFront"/>
              <w14:lightRig w14:rig="threePt" w14:dir="t">
                <w14:rot w14:lat="0" w14:lon="0" w14:rev="0"/>
              </w14:lightRig>
            </w14:scene3d>
          </w:rPr>
          <w:t>Proposal 3</w:t>
        </w:r>
        <w:r>
          <w:rPr>
            <w:rFonts w:asciiTheme="minorHAnsi" w:eastAsiaTheme="minorEastAsia" w:hAnsiTheme="minorHAnsi"/>
            <w:b w:val="0"/>
            <w:noProof/>
            <w:sz w:val="22"/>
            <w:lang w:val="en-SE" w:eastAsia="en-SE"/>
          </w:rPr>
          <w:tab/>
        </w:r>
        <w:r w:rsidRPr="005B0EB4">
          <w:rPr>
            <w:rStyle w:val="Hyperlink"/>
            <w:noProof/>
            <w:lang w:eastAsia="ja-JP"/>
          </w:rPr>
          <w:t>If a resource is configured as Hard, or explicitly indicated as Soft-IA the IAB-DU can transmit, receive, or either transmit or receive according to its configuration only if it does not impact the IAB-MT’s actual ability to operate in any other resourcethat is either configured Not Available, or configured Soft and not explicitly indicated available.</w:t>
        </w:r>
      </w:hyperlink>
    </w:p>
    <w:p w14:paraId="79A1707D"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03" w:history="1">
        <w:r w:rsidRPr="005B0EB4">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b w:val="0"/>
            <w:noProof/>
            <w:sz w:val="22"/>
            <w:lang w:val="en-SE" w:eastAsia="en-SE"/>
          </w:rPr>
          <w:tab/>
        </w:r>
        <w:r w:rsidRPr="005B0EB4">
          <w:rPr>
            <w:rStyle w:val="Hyperlink"/>
            <w:noProof/>
            <w:lang w:eastAsia="ja-JP"/>
          </w:rPr>
          <w:t>If a resource is configured as Soft (including implicitly indicated available), the IAB-DU can transmit, receive, or either transmit or receive only if it does not impact the IAB-MT’s actual ability to operate in any resource, either configured Not Available, or configured Soft and not explicitly indicated available.</w:t>
        </w:r>
      </w:hyperlink>
    </w:p>
    <w:p w14:paraId="4165573B"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04" w:history="1">
        <w:r w:rsidRPr="005B0EB4">
          <w:rPr>
            <w:rStyle w:val="Hyperlink"/>
            <w:rFonts w:cs="Arial"/>
            <w:noProof/>
            <w14:scene3d>
              <w14:camera w14:prst="orthographicFront"/>
              <w14:lightRig w14:rig="threePt" w14:dir="t">
                <w14:rot w14:lat="0" w14:lon="0" w14:rev="0"/>
              </w14:lightRig>
            </w14:scene3d>
          </w:rPr>
          <w:t>Proposal 5</w:t>
        </w:r>
        <w:r>
          <w:rPr>
            <w:rFonts w:asciiTheme="minorHAnsi" w:eastAsiaTheme="minorEastAsia" w:hAnsiTheme="minorHAnsi"/>
            <w:b w:val="0"/>
            <w:noProof/>
            <w:sz w:val="22"/>
            <w:lang w:val="en-SE" w:eastAsia="en-SE"/>
          </w:rPr>
          <w:tab/>
        </w:r>
        <w:r w:rsidRPr="005B0EB4">
          <w:rPr>
            <w:rStyle w:val="Hyperlink"/>
            <w:noProof/>
            <w:lang w:eastAsia="ja-JP"/>
          </w:rPr>
          <w:t>Confirm working assumption that if both Rel-16 time-domain H/S/NA configuration and Rel-17 frequency domain H/S/NA configuration are provided for a given RB set within a slot, an IAB node applies the frequency domain H/S/NA if the IAB node is currently operating in a non-TDM multiplexing mode in the slot, otherwise the Rel-16 time domain H/S/NA configuration is applied.</w:t>
        </w:r>
      </w:hyperlink>
    </w:p>
    <w:p w14:paraId="67D05AF5"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05" w:history="1">
        <w:r w:rsidRPr="005B0EB4">
          <w:rPr>
            <w:rStyle w:val="Hyperlink"/>
            <w:noProof/>
            <w:lang w:eastAsia="ja-JP"/>
            <w14:scene3d>
              <w14:camera w14:prst="orthographicFront"/>
              <w14:lightRig w14:rig="threePt" w14:dir="t">
                <w14:rot w14:lat="0" w14:lon="0" w14:rev="0"/>
              </w14:lightRig>
            </w14:scene3d>
          </w:rPr>
          <w:t>Proposal 6</w:t>
        </w:r>
        <w:r>
          <w:rPr>
            <w:rFonts w:asciiTheme="minorHAnsi" w:eastAsiaTheme="minorEastAsia" w:hAnsiTheme="minorHAnsi"/>
            <w:b w:val="0"/>
            <w:noProof/>
            <w:sz w:val="22"/>
            <w:lang w:val="en-SE" w:eastAsia="en-SE"/>
          </w:rPr>
          <w:tab/>
        </w:r>
        <w:r w:rsidRPr="005B0EB4">
          <w:rPr>
            <w:rStyle w:val="Hyperlink"/>
            <w:noProof/>
            <w:lang w:eastAsia="ja-JP"/>
          </w:rPr>
          <w:t>RAN1 selects the following two signaling alternatives for the fallback request to TDM operation mode:</w:t>
        </w:r>
      </w:hyperlink>
    </w:p>
    <w:p w14:paraId="3F3E51C1"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06" w:history="1">
        <w:r w:rsidRPr="005B0EB4">
          <w:rPr>
            <w:rStyle w:val="Hyperlink"/>
            <w:noProof/>
          </w:rPr>
          <w:t>Alt1: UCI-based</w:t>
        </w:r>
      </w:hyperlink>
    </w:p>
    <w:p w14:paraId="54D33067"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07" w:history="1">
        <w:r w:rsidRPr="005B0EB4">
          <w:rPr>
            <w:rStyle w:val="Hyperlink"/>
            <w:noProof/>
          </w:rPr>
          <w:t>Alt2: MAC-CE based</w:t>
        </w:r>
      </w:hyperlink>
    </w:p>
    <w:p w14:paraId="44F4D0B6"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08" w:history="1">
        <w:r w:rsidRPr="005B0EB4">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b w:val="0"/>
            <w:noProof/>
            <w:sz w:val="22"/>
            <w:lang w:val="en-SE" w:eastAsia="en-SE"/>
          </w:rPr>
          <w:tab/>
        </w:r>
        <w:r w:rsidRPr="005B0EB4">
          <w:rPr>
            <w:rStyle w:val="Hyperlink"/>
            <w:noProof/>
            <w:lang w:eastAsia="ja-JP"/>
          </w:rPr>
          <w:t>Fallback to TDM does not need an ACK response from the parent IAB-node.</w:t>
        </w:r>
      </w:hyperlink>
    </w:p>
    <w:p w14:paraId="7EF7A22A"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09" w:history="1">
        <w:r w:rsidRPr="005B0EB4">
          <w:rPr>
            <w:rStyle w:val="Hyperlink"/>
            <w:noProof/>
            <w:lang w:eastAsia="ja-JP"/>
            <w14:scene3d>
              <w14:camera w14:prst="orthographicFront"/>
              <w14:lightRig w14:rig="threePt" w14:dir="t">
                <w14:rot w14:lat="0" w14:lon="0" w14:rev="0"/>
              </w14:lightRig>
            </w14:scene3d>
          </w:rPr>
          <w:t>Proposal 8</w:t>
        </w:r>
        <w:r>
          <w:rPr>
            <w:rFonts w:asciiTheme="minorHAnsi" w:eastAsiaTheme="minorEastAsia" w:hAnsiTheme="minorHAnsi"/>
            <w:b w:val="0"/>
            <w:noProof/>
            <w:sz w:val="22"/>
            <w:lang w:val="en-SE" w:eastAsia="en-SE"/>
          </w:rPr>
          <w:tab/>
        </w:r>
        <w:r w:rsidRPr="005B0EB4">
          <w:rPr>
            <w:rStyle w:val="Hyperlink"/>
            <w:noProof/>
            <w:lang w:eastAsia="ja-JP"/>
          </w:rPr>
          <w:t xml:space="preserve">RAN1 to clarify which of the following alternatives apply to the enhanced </w:t>
        </w:r>
        <w:r w:rsidRPr="005B0EB4">
          <w:rPr>
            <w:rStyle w:val="Hyperlink"/>
            <w:rFonts w:cs="Arial"/>
            <w:noProof/>
          </w:rPr>
          <w:t>AvailabilityCombinationsPerCell:</w:t>
        </w:r>
      </w:hyperlink>
    </w:p>
    <w:p w14:paraId="7D153378"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10" w:history="1">
        <w:r w:rsidRPr="005B0EB4">
          <w:rPr>
            <w:rStyle w:val="Hyperlink"/>
            <w:noProof/>
            <w:lang w:eastAsia="ja-JP"/>
          </w:rPr>
          <w:t xml:space="preserve">Alt1: an IAB-DU cell can be provided with two separate </w:t>
        </w:r>
        <w:r w:rsidRPr="005B0EB4">
          <w:rPr>
            <w:rStyle w:val="Hyperlink"/>
            <w:i/>
            <w:iCs/>
            <w:noProof/>
            <w:lang w:eastAsia="ja-JP"/>
          </w:rPr>
          <w:t>availabilityCombinations</w:t>
        </w:r>
        <w:r w:rsidRPr="005B0EB4">
          <w:rPr>
            <w:rStyle w:val="Hyperlink"/>
            <w:noProof/>
            <w:lang w:eastAsia="ja-JP"/>
          </w:rPr>
          <w:t>, for TDM and FDM resource respectively.</w:t>
        </w:r>
      </w:hyperlink>
    </w:p>
    <w:p w14:paraId="31647982"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11" w:history="1">
        <w:r w:rsidRPr="005B0EB4">
          <w:rPr>
            <w:rStyle w:val="Hyperlink"/>
            <w:noProof/>
            <w:lang w:eastAsia="ja-JP"/>
          </w:rPr>
          <w:t xml:space="preserve">Alt2: an IAB-DU cell is provided with one </w:t>
        </w:r>
        <w:r w:rsidRPr="005B0EB4">
          <w:rPr>
            <w:rStyle w:val="Hyperlink"/>
            <w:i/>
            <w:iCs/>
            <w:noProof/>
            <w:lang w:eastAsia="ja-JP"/>
          </w:rPr>
          <w:t>availabilityCombinations</w:t>
        </w:r>
        <w:r w:rsidRPr="005B0EB4">
          <w:rPr>
            <w:rStyle w:val="Hyperlink"/>
            <w:noProof/>
            <w:lang w:eastAsia="ja-JP"/>
          </w:rPr>
          <w:t>, which contains both time-domain and frequency domain availability combinations.</w:t>
        </w:r>
      </w:hyperlink>
    </w:p>
    <w:p w14:paraId="76962DE4"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12" w:history="1">
        <w:r w:rsidRPr="005B0EB4">
          <w:rPr>
            <w:rStyle w:val="Hyperlink"/>
            <w:noProof/>
            <w:lang w:eastAsia="ja-JP"/>
            <w14:scene3d>
              <w14:camera w14:prst="orthographicFront"/>
              <w14:lightRig w14:rig="threePt" w14:dir="t">
                <w14:rot w14:lat="0" w14:lon="0" w14:rev="0"/>
              </w14:lightRig>
            </w14:scene3d>
          </w:rPr>
          <w:t>Proposal 9</w:t>
        </w:r>
        <w:r>
          <w:rPr>
            <w:rFonts w:asciiTheme="minorHAnsi" w:eastAsiaTheme="minorEastAsia" w:hAnsiTheme="minorHAnsi"/>
            <w:b w:val="0"/>
            <w:noProof/>
            <w:sz w:val="22"/>
            <w:lang w:val="en-SE" w:eastAsia="en-SE"/>
          </w:rPr>
          <w:tab/>
        </w:r>
        <w:r w:rsidRPr="005B0EB4">
          <w:rPr>
            <w:rStyle w:val="Hyperlink"/>
            <w:noProof/>
            <w:lang w:eastAsia="ja-JP"/>
          </w:rPr>
          <w:t xml:space="preserve">RAN1 to clarify whether or not </w:t>
        </w:r>
        <w:r w:rsidRPr="005B0EB4">
          <w:rPr>
            <w:rStyle w:val="Hyperlink"/>
            <w:rFonts w:cs="Arial"/>
            <w:noProof/>
          </w:rPr>
          <w:t>the AI index fields in a single DCI format 2_5 can be mapped to both time-domain and frequency-domain resourceAvailability according to the multiplexing mode of the IAB-DU cells.</w:t>
        </w:r>
      </w:hyperlink>
    </w:p>
    <w:p w14:paraId="7A6B7079"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13" w:history="1">
        <w:r w:rsidRPr="005B0EB4">
          <w:rPr>
            <w:rStyle w:val="Hyperlink"/>
            <w:noProof/>
            <w:lang w:eastAsia="ja-JP"/>
            <w14:scene3d>
              <w14:camera w14:prst="orthographicFront"/>
              <w14:lightRig w14:rig="threePt" w14:dir="t">
                <w14:rot w14:lat="0" w14:lon="0" w14:rev="0"/>
              </w14:lightRig>
            </w14:scene3d>
          </w:rPr>
          <w:t>Proposal 10</w:t>
        </w:r>
        <w:r>
          <w:rPr>
            <w:rFonts w:asciiTheme="minorHAnsi" w:eastAsiaTheme="minorEastAsia" w:hAnsiTheme="minorHAnsi"/>
            <w:b w:val="0"/>
            <w:noProof/>
            <w:sz w:val="22"/>
            <w:lang w:val="en-SE" w:eastAsia="en-SE"/>
          </w:rPr>
          <w:tab/>
        </w:r>
        <w:r w:rsidRPr="005B0EB4">
          <w:rPr>
            <w:rStyle w:val="Hyperlink"/>
            <w:noProof/>
            <w:lang w:eastAsia="ja-JP"/>
          </w:rPr>
          <w:t>Rel-17 enhancement on DCI format 2_5 should at least consider extension of the maximum payload size of DCI format 2_5 to increase the number of IAB-DU cells that can be provided with availability information for Soft resources.</w:t>
        </w:r>
      </w:hyperlink>
    </w:p>
    <w:p w14:paraId="06C6BA7C"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14" w:history="1">
        <w:r w:rsidRPr="005B0EB4">
          <w:rPr>
            <w:rStyle w:val="Hyperlink"/>
            <w:noProof/>
            <w:lang w:eastAsia="ja-JP"/>
            <w14:scene3d>
              <w14:camera w14:prst="orthographicFront"/>
              <w14:lightRig w14:rig="threePt" w14:dir="t">
                <w14:rot w14:lat="0" w14:lon="0" w14:rev="0"/>
              </w14:lightRig>
            </w14:scene3d>
          </w:rPr>
          <w:t>Proposal 11</w:t>
        </w:r>
        <w:r>
          <w:rPr>
            <w:rFonts w:asciiTheme="minorHAnsi" w:eastAsiaTheme="minorEastAsia" w:hAnsiTheme="minorHAnsi"/>
            <w:b w:val="0"/>
            <w:noProof/>
            <w:sz w:val="22"/>
            <w:lang w:val="en-SE" w:eastAsia="en-SE"/>
          </w:rPr>
          <w:tab/>
        </w:r>
        <w:r w:rsidRPr="005B0EB4">
          <w:rPr>
            <w:rStyle w:val="Hyperlink"/>
            <w:noProof/>
            <w:lang w:eastAsia="ja-JP"/>
          </w:rPr>
          <w:t>Introducing group indexing bits in DCI format 2_5 to further increase the number of IAB-DU cells that can be indicated AI.</w:t>
        </w:r>
      </w:hyperlink>
    </w:p>
    <w:p w14:paraId="10ECE983"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15" w:history="1">
        <w:r w:rsidRPr="005B0EB4">
          <w:rPr>
            <w:rStyle w:val="Hyperlink"/>
            <w:noProof/>
            <w:lang w:eastAsia="ja-JP"/>
            <w14:scene3d>
              <w14:camera w14:prst="orthographicFront"/>
              <w14:lightRig w14:rig="threePt" w14:dir="t">
                <w14:rot w14:lat="0" w14:lon="0" w14:rev="0"/>
              </w14:lightRig>
            </w14:scene3d>
          </w:rPr>
          <w:t>Proposal 12</w:t>
        </w:r>
        <w:r>
          <w:rPr>
            <w:rFonts w:asciiTheme="minorHAnsi" w:eastAsiaTheme="minorEastAsia" w:hAnsiTheme="minorHAnsi"/>
            <w:b w:val="0"/>
            <w:noProof/>
            <w:sz w:val="22"/>
            <w:lang w:val="en-SE" w:eastAsia="en-SE"/>
          </w:rPr>
          <w:tab/>
        </w:r>
        <w:r w:rsidRPr="005B0EB4">
          <w:rPr>
            <w:rStyle w:val="Hyperlink"/>
            <w:noProof/>
            <w:lang w:eastAsia="ja-JP"/>
          </w:rPr>
          <w:t>One resourceAvailability element of the availabilityCombinations table is reserved to signal to the IAB-DU that “No new Availability Indication is provided” in DCI format 2_5 for slots which receive multiple Availability Indicators.</w:t>
        </w:r>
      </w:hyperlink>
    </w:p>
    <w:p w14:paraId="6BC6FE7C"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16" w:history="1">
        <w:r w:rsidRPr="005B0EB4">
          <w:rPr>
            <w:rStyle w:val="Hyperlink"/>
            <w:noProof/>
            <w:lang w:eastAsia="ja-JP"/>
            <w14:scene3d>
              <w14:camera w14:prst="orthographicFront"/>
              <w14:lightRig w14:rig="threePt" w14:dir="t">
                <w14:rot w14:lat="0" w14:lon="0" w14:rev="0"/>
              </w14:lightRig>
            </w14:scene3d>
          </w:rPr>
          <w:t>Proposal 13</w:t>
        </w:r>
        <w:r>
          <w:rPr>
            <w:rFonts w:asciiTheme="minorHAnsi" w:eastAsiaTheme="minorEastAsia" w:hAnsiTheme="minorHAnsi"/>
            <w:b w:val="0"/>
            <w:noProof/>
            <w:sz w:val="22"/>
            <w:lang w:val="en-SE" w:eastAsia="en-SE"/>
          </w:rPr>
          <w:tab/>
        </w:r>
        <w:r w:rsidRPr="005B0EB4">
          <w:rPr>
            <w:rStyle w:val="Hyperlink"/>
            <w:noProof/>
          </w:rPr>
          <w:t>RAN1 to clarify that SDM, including beam restrictions/recommendations, is restricted to Soft resources</w:t>
        </w:r>
        <w:r w:rsidRPr="005B0EB4">
          <w:rPr>
            <w:rStyle w:val="Hyperlink"/>
            <w:noProof/>
            <w:lang w:eastAsia="ja-JP"/>
          </w:rPr>
          <w:t>.</w:t>
        </w:r>
      </w:hyperlink>
    </w:p>
    <w:p w14:paraId="4C1DC838"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17" w:history="1">
        <w:r w:rsidRPr="005B0EB4">
          <w:rPr>
            <w:rStyle w:val="Hyperlink"/>
            <w:noProof/>
            <w:lang w:eastAsia="ja-JP"/>
            <w14:scene3d>
              <w14:camera w14:prst="orthographicFront"/>
              <w14:lightRig w14:rig="threePt" w14:dir="t">
                <w14:rot w14:lat="0" w14:lon="0" w14:rev="0"/>
              </w14:lightRig>
            </w14:scene3d>
          </w:rPr>
          <w:t>Proposal 14</w:t>
        </w:r>
        <w:r>
          <w:rPr>
            <w:rFonts w:asciiTheme="minorHAnsi" w:eastAsiaTheme="minorEastAsia" w:hAnsiTheme="minorHAnsi"/>
            <w:b w:val="0"/>
            <w:noProof/>
            <w:sz w:val="22"/>
            <w:lang w:val="en-SE" w:eastAsia="en-SE"/>
          </w:rPr>
          <w:tab/>
        </w:r>
        <w:r w:rsidRPr="005B0EB4">
          <w:rPr>
            <w:rStyle w:val="Hyperlink"/>
            <w:noProof/>
          </w:rPr>
          <w:t>Guard symbols are not needed for Case H: Case #6 MT TX to/from Case #1 DU TX</w:t>
        </w:r>
        <w:r w:rsidRPr="005B0EB4">
          <w:rPr>
            <w:rStyle w:val="Hyperlink"/>
            <w:noProof/>
            <w:lang w:eastAsia="ja-JP"/>
          </w:rPr>
          <w:t>.</w:t>
        </w:r>
      </w:hyperlink>
    </w:p>
    <w:p w14:paraId="2D96D8D9"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18" w:history="1">
        <w:r w:rsidRPr="005B0EB4">
          <w:rPr>
            <w:rStyle w:val="Hyperlink"/>
            <w:noProof/>
            <w:lang w:eastAsia="ja-JP"/>
            <w14:scene3d>
              <w14:camera w14:prst="orthographicFront"/>
              <w14:lightRig w14:rig="threePt" w14:dir="t">
                <w14:rot w14:lat="0" w14:lon="0" w14:rev="0"/>
              </w14:lightRig>
            </w14:scene3d>
          </w:rPr>
          <w:t>Proposal 15</w:t>
        </w:r>
        <w:r>
          <w:rPr>
            <w:rFonts w:asciiTheme="minorHAnsi" w:eastAsiaTheme="minorEastAsia" w:hAnsiTheme="minorHAnsi"/>
            <w:b w:val="0"/>
            <w:noProof/>
            <w:sz w:val="22"/>
            <w:lang w:val="en-SE" w:eastAsia="en-SE"/>
          </w:rPr>
          <w:tab/>
        </w:r>
        <w:r w:rsidRPr="005B0EB4">
          <w:rPr>
            <w:rStyle w:val="Hyperlink"/>
            <w:noProof/>
          </w:rPr>
          <w:t>For directional collision handling in IAB inter-donor and intra-donor DC scenarios, introduce the following capabilities and RRC parameters: TX</w:t>
        </w:r>
        <w:r w:rsidRPr="005B0EB4">
          <w:rPr>
            <w:rStyle w:val="Hyperlink"/>
            <w:noProof/>
            <w:lang w:eastAsia="ja-JP"/>
          </w:rPr>
          <w:t>.</w:t>
        </w:r>
      </w:hyperlink>
    </w:p>
    <w:p w14:paraId="0F09C1C5"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19" w:history="1">
        <w:r w:rsidRPr="005B0EB4">
          <w:rPr>
            <w:rStyle w:val="Hyperlink"/>
            <w:noProof/>
            <w:lang w:eastAsia="ja-JP"/>
          </w:rPr>
          <w:t>a.</w:t>
        </w:r>
        <w:r>
          <w:rPr>
            <w:rFonts w:asciiTheme="minorHAnsi" w:eastAsiaTheme="minorEastAsia" w:hAnsiTheme="minorHAnsi"/>
            <w:b w:val="0"/>
            <w:noProof/>
            <w:sz w:val="22"/>
            <w:lang w:val="en-SE" w:eastAsia="en-SE"/>
          </w:rPr>
          <w:tab/>
        </w:r>
        <w:r w:rsidRPr="005B0EB4">
          <w:rPr>
            <w:rStyle w:val="Hyperlink"/>
            <w:noProof/>
          </w:rPr>
          <w:t>simultaneousRXTXIABInterDonorDC capability</w:t>
        </w:r>
      </w:hyperlink>
    </w:p>
    <w:p w14:paraId="045B5A3E"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20" w:history="1">
        <w:r w:rsidRPr="005B0EB4">
          <w:rPr>
            <w:rStyle w:val="Hyperlink"/>
            <w:noProof/>
            <w:lang w:eastAsia="ja-JP"/>
          </w:rPr>
          <w:t>b.</w:t>
        </w:r>
        <w:r>
          <w:rPr>
            <w:rFonts w:asciiTheme="minorHAnsi" w:eastAsiaTheme="minorEastAsia" w:hAnsiTheme="minorHAnsi"/>
            <w:b w:val="0"/>
            <w:noProof/>
            <w:sz w:val="22"/>
            <w:lang w:val="en-SE" w:eastAsia="en-SE"/>
          </w:rPr>
          <w:tab/>
        </w:r>
        <w:r w:rsidRPr="005B0EB4">
          <w:rPr>
            <w:rStyle w:val="Hyperlink"/>
            <w:noProof/>
          </w:rPr>
          <w:t>simultaneousRXTXIABIntraDonorDC capability</w:t>
        </w:r>
      </w:hyperlink>
    </w:p>
    <w:p w14:paraId="3FA1AE6D"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21" w:history="1">
        <w:r w:rsidRPr="005B0EB4">
          <w:rPr>
            <w:rStyle w:val="Hyperlink"/>
            <w:noProof/>
            <w:lang w:eastAsia="ja-JP"/>
          </w:rPr>
          <w:t>c.</w:t>
        </w:r>
        <w:r>
          <w:rPr>
            <w:rFonts w:asciiTheme="minorHAnsi" w:eastAsiaTheme="minorEastAsia" w:hAnsiTheme="minorHAnsi"/>
            <w:b w:val="0"/>
            <w:noProof/>
            <w:sz w:val="22"/>
            <w:lang w:val="en-SE" w:eastAsia="en-SE"/>
          </w:rPr>
          <w:tab/>
        </w:r>
        <w:r w:rsidRPr="005B0EB4">
          <w:rPr>
            <w:rStyle w:val="Hyperlink"/>
            <w:noProof/>
          </w:rPr>
          <w:t>half-DuplexTDD-IABNRDC-r17 capability</w:t>
        </w:r>
      </w:hyperlink>
    </w:p>
    <w:p w14:paraId="38AD6463" w14:textId="77777777" w:rsidR="003B2295" w:rsidRDefault="003B2295" w:rsidP="003B2295">
      <w:pPr>
        <w:pStyle w:val="TableofFigures"/>
        <w:tabs>
          <w:tab w:val="right" w:leader="dot" w:pos="9629"/>
        </w:tabs>
        <w:jc w:val="both"/>
        <w:rPr>
          <w:rFonts w:asciiTheme="minorHAnsi" w:eastAsiaTheme="minorEastAsia" w:hAnsiTheme="minorHAnsi"/>
          <w:b w:val="0"/>
          <w:noProof/>
          <w:sz w:val="22"/>
          <w:lang w:val="en-SE" w:eastAsia="en-SE"/>
        </w:rPr>
      </w:pPr>
      <w:hyperlink w:anchor="_Toc95772022" w:history="1">
        <w:r w:rsidRPr="005B0EB4">
          <w:rPr>
            <w:rStyle w:val="Hyperlink"/>
            <w:noProof/>
            <w14:scene3d>
              <w14:camera w14:prst="orthographicFront"/>
              <w14:lightRig w14:rig="threePt" w14:dir="t">
                <w14:rot w14:lat="0" w14:lon="0" w14:rev="0"/>
              </w14:lightRig>
            </w14:scene3d>
          </w:rPr>
          <w:t>Proposal 16</w:t>
        </w:r>
        <w:r>
          <w:rPr>
            <w:rFonts w:asciiTheme="minorHAnsi" w:eastAsiaTheme="minorEastAsia" w:hAnsiTheme="minorHAnsi"/>
            <w:b w:val="0"/>
            <w:noProof/>
            <w:sz w:val="22"/>
            <w:lang w:val="en-SE" w:eastAsia="en-SE"/>
          </w:rPr>
          <w:tab/>
        </w:r>
        <w:r w:rsidRPr="005B0EB4">
          <w:rPr>
            <w:rStyle w:val="Hyperlink"/>
            <w:noProof/>
          </w:rPr>
          <w:t xml:space="preserve">RAN1 adopt the following text changes on DCI format 2_5 indication </w:t>
        </w:r>
        <w:r w:rsidRPr="005B0EB4">
          <w:rPr>
            <w:rStyle w:val="Hyperlink"/>
            <w:rFonts w:cs="Arial"/>
            <w:noProof/>
          </w:rPr>
          <w:t>for an IAB-MT with multiple serving cells:</w:t>
        </w:r>
      </w:hyperlink>
    </w:p>
    <w:p w14:paraId="20BAE1DB" w14:textId="6EF10D2B" w:rsidR="006E1C82" w:rsidRPr="00087AB3" w:rsidRDefault="006E1C82" w:rsidP="003B2295">
      <w:pPr>
        <w:pStyle w:val="BodyText"/>
        <w:rPr>
          <w:b/>
          <w:bCs/>
        </w:rPr>
      </w:pPr>
      <w:r w:rsidRPr="00087AB3">
        <w:rPr>
          <w:b/>
        </w:rPr>
        <w:fldChar w:fldCharType="end"/>
      </w:r>
    </w:p>
    <w:p w14:paraId="3C775E22" w14:textId="77777777" w:rsidR="00F507D1" w:rsidRPr="00087AB3" w:rsidRDefault="00F507D1" w:rsidP="003B2295">
      <w:pPr>
        <w:pStyle w:val="Heading1"/>
        <w:jc w:val="both"/>
        <w:rPr>
          <w:lang w:val="en-US"/>
        </w:rPr>
      </w:pPr>
      <w:bookmarkStart w:id="95" w:name="_In-sequence_SDU_delivery"/>
      <w:bookmarkEnd w:id="95"/>
      <w:r w:rsidRPr="00087AB3">
        <w:rPr>
          <w:lang w:val="en-US"/>
        </w:rPr>
        <w:t>References</w:t>
      </w:r>
    </w:p>
    <w:p w14:paraId="5FC06FC3" w14:textId="62942A24" w:rsidR="003A371B" w:rsidRPr="00087AB3" w:rsidRDefault="00A5452E" w:rsidP="003B2295">
      <w:pPr>
        <w:pStyle w:val="Reference"/>
        <w:spacing w:after="160"/>
      </w:pPr>
      <w:bookmarkStart w:id="96" w:name="_Ref534962701"/>
      <w:bookmarkStart w:id="97" w:name="_Ref57281096"/>
      <w:r w:rsidRPr="00087AB3">
        <w:t xml:space="preserve">RP-211548, “New WID on Enhancements to Integrated Access and Backhaul,” Qualcomm, RAN #92e, June </w:t>
      </w:r>
      <w:bookmarkEnd w:id="96"/>
      <w:r w:rsidRPr="00087AB3">
        <w:t>2021</w:t>
      </w:r>
      <w:r w:rsidR="003A371B" w:rsidRPr="00087AB3">
        <w:rPr>
          <w:rFonts w:cs="Arial"/>
        </w:rPr>
        <w:t>.</w:t>
      </w:r>
    </w:p>
    <w:p w14:paraId="4763C5C0" w14:textId="217DFECB" w:rsidR="00603E27" w:rsidRPr="009A3D07" w:rsidRDefault="00603E27" w:rsidP="003B2295">
      <w:pPr>
        <w:pStyle w:val="Reference"/>
        <w:spacing w:after="160"/>
      </w:pPr>
      <w:bookmarkStart w:id="98" w:name="_Ref89866325"/>
      <w:bookmarkStart w:id="99" w:name="_Ref85313944"/>
      <w:r w:rsidRPr="00087AB3">
        <w:rPr>
          <w:rFonts w:cs="Arial"/>
        </w:rPr>
        <w:t>“Chairman’s Notes”, 3GPP TSG RAN WG1 Meeting #10</w:t>
      </w:r>
      <w:r>
        <w:rPr>
          <w:rFonts w:cs="Arial"/>
        </w:rPr>
        <w:t>7</w:t>
      </w:r>
      <w:r w:rsidRPr="00087AB3">
        <w:rPr>
          <w:rFonts w:cs="Arial"/>
        </w:rPr>
        <w:t xml:space="preserve">-e, </w:t>
      </w:r>
      <w:r>
        <w:rPr>
          <w:rFonts w:cs="Arial"/>
        </w:rPr>
        <w:t>November</w:t>
      </w:r>
      <w:r w:rsidRPr="00087AB3">
        <w:rPr>
          <w:rFonts w:cs="Arial"/>
        </w:rPr>
        <w:t xml:space="preserve"> 2021.</w:t>
      </w:r>
      <w:bookmarkEnd w:id="98"/>
    </w:p>
    <w:p w14:paraId="0EF2A256" w14:textId="21AEBBB5" w:rsidR="00A8063D" w:rsidRPr="00A8063D" w:rsidRDefault="00A8063D" w:rsidP="003B2295">
      <w:pPr>
        <w:pStyle w:val="Reference"/>
        <w:spacing w:after="160"/>
      </w:pPr>
      <w:bookmarkStart w:id="100" w:name="_Ref89866327"/>
      <w:r w:rsidRPr="00087AB3">
        <w:rPr>
          <w:rFonts w:cs="Arial"/>
        </w:rPr>
        <w:t>“Chairman’s Notes”, 3GPP TSG RAN WG1 Meeting #106</w:t>
      </w:r>
      <w:r>
        <w:rPr>
          <w:rFonts w:cs="Arial"/>
        </w:rPr>
        <w:t>bis</w:t>
      </w:r>
      <w:r w:rsidRPr="00087AB3">
        <w:rPr>
          <w:rFonts w:cs="Arial"/>
        </w:rPr>
        <w:t xml:space="preserve">-e, </w:t>
      </w:r>
      <w:r>
        <w:rPr>
          <w:rFonts w:cs="Arial"/>
        </w:rPr>
        <w:t>October</w:t>
      </w:r>
      <w:r w:rsidRPr="00087AB3">
        <w:rPr>
          <w:rFonts w:cs="Arial"/>
        </w:rPr>
        <w:t xml:space="preserve"> 2021.</w:t>
      </w:r>
      <w:bookmarkEnd w:id="99"/>
      <w:bookmarkEnd w:id="100"/>
    </w:p>
    <w:p w14:paraId="66E87AF3" w14:textId="4D3E9395" w:rsidR="00BA61BA" w:rsidRPr="00603E27" w:rsidRDefault="00BA61BA" w:rsidP="003B2295">
      <w:pPr>
        <w:pStyle w:val="Reference"/>
        <w:spacing w:after="160"/>
      </w:pPr>
      <w:bookmarkStart w:id="101" w:name="_Ref74242731"/>
      <w:bookmarkStart w:id="102" w:name="_Ref70195782"/>
      <w:bookmarkStart w:id="103" w:name="_Ref68031170"/>
      <w:r w:rsidRPr="00087AB3">
        <w:rPr>
          <w:rFonts w:cs="Arial"/>
        </w:rPr>
        <w:lastRenderedPageBreak/>
        <w:t>“Chair</w:t>
      </w:r>
      <w:r w:rsidR="00A6666A" w:rsidRPr="00087AB3">
        <w:rPr>
          <w:rFonts w:cs="Arial"/>
        </w:rPr>
        <w:t>man</w:t>
      </w:r>
      <w:r w:rsidRPr="00087AB3">
        <w:rPr>
          <w:rFonts w:cs="Arial"/>
        </w:rPr>
        <w:t>’s Notes”, 3GPP TSG RAN WG1 Meeting #10</w:t>
      </w:r>
      <w:r w:rsidR="003F23E8" w:rsidRPr="00087AB3">
        <w:rPr>
          <w:rFonts w:cs="Arial"/>
        </w:rPr>
        <w:t>6</w:t>
      </w:r>
      <w:r w:rsidRPr="00087AB3">
        <w:rPr>
          <w:rFonts w:cs="Arial"/>
        </w:rPr>
        <w:t>-e, A</w:t>
      </w:r>
      <w:r w:rsidR="003F23E8" w:rsidRPr="00087AB3">
        <w:rPr>
          <w:rFonts w:cs="Arial"/>
        </w:rPr>
        <w:t>ugust</w:t>
      </w:r>
      <w:r w:rsidRPr="00087AB3">
        <w:rPr>
          <w:rFonts w:cs="Arial"/>
        </w:rPr>
        <w:t xml:space="preserve"> 2021.</w:t>
      </w:r>
      <w:bookmarkEnd w:id="101"/>
    </w:p>
    <w:p w14:paraId="74B097AA" w14:textId="5F1B8CEA" w:rsidR="00603E27" w:rsidRPr="00E374B2" w:rsidRDefault="00603E27" w:rsidP="003B2295">
      <w:pPr>
        <w:pStyle w:val="Reference"/>
        <w:spacing w:after="160"/>
      </w:pPr>
      <w:bookmarkStart w:id="104" w:name="_Ref89866153"/>
      <w:r w:rsidRPr="00087AB3">
        <w:rPr>
          <w:rFonts w:cs="Arial"/>
        </w:rPr>
        <w:t>“Chairman’s Notes”, 3GPP TSG RAN WG1 Meeting #10</w:t>
      </w:r>
      <w:r>
        <w:rPr>
          <w:rFonts w:cs="Arial"/>
        </w:rPr>
        <w:t>5</w:t>
      </w:r>
      <w:r w:rsidRPr="00087AB3">
        <w:rPr>
          <w:rFonts w:cs="Arial"/>
        </w:rPr>
        <w:t>-e, August 2021.</w:t>
      </w:r>
      <w:bookmarkEnd w:id="104"/>
    </w:p>
    <w:p w14:paraId="3EF9E80A" w14:textId="1697D4E6" w:rsidR="00E374B2" w:rsidRDefault="00E374B2" w:rsidP="003B2295">
      <w:pPr>
        <w:pStyle w:val="Reference"/>
        <w:spacing w:after="160"/>
      </w:pPr>
      <w:bookmarkStart w:id="105" w:name="_Ref89866343"/>
      <w:r w:rsidRPr="00087AB3">
        <w:rPr>
          <w:rFonts w:cs="Arial"/>
        </w:rPr>
        <w:t>“Chairman’s Notes”, 3GPP TSG RAN WG1 Meeting #10</w:t>
      </w:r>
      <w:r>
        <w:rPr>
          <w:rFonts w:cs="Arial"/>
        </w:rPr>
        <w:t>4bis</w:t>
      </w:r>
      <w:r w:rsidRPr="00087AB3">
        <w:rPr>
          <w:rFonts w:cs="Arial"/>
        </w:rPr>
        <w:t>-e, August 2021.</w:t>
      </w:r>
      <w:bookmarkEnd w:id="105"/>
    </w:p>
    <w:p w14:paraId="55D7A9D9" w14:textId="6D73DA3C" w:rsidR="00E374B2" w:rsidRPr="00E374B2" w:rsidRDefault="00E374B2" w:rsidP="003B2295">
      <w:pPr>
        <w:pStyle w:val="Reference"/>
        <w:spacing w:after="160"/>
      </w:pPr>
      <w:bookmarkStart w:id="106" w:name="_Ref89866345"/>
      <w:r w:rsidRPr="00087AB3">
        <w:rPr>
          <w:rFonts w:cs="Arial"/>
        </w:rPr>
        <w:t>“Chairman’s Notes”, 3GPP TSG RAN WG1 Meeting #10</w:t>
      </w:r>
      <w:r>
        <w:rPr>
          <w:rFonts w:cs="Arial"/>
        </w:rPr>
        <w:t>3</w:t>
      </w:r>
      <w:r w:rsidRPr="00087AB3">
        <w:rPr>
          <w:rFonts w:cs="Arial"/>
        </w:rPr>
        <w:t>-e, August 2021.</w:t>
      </w:r>
      <w:bookmarkEnd w:id="106"/>
    </w:p>
    <w:p w14:paraId="2F8A8C3E" w14:textId="3855D8AF" w:rsidR="00E374B2" w:rsidRDefault="00E374B2" w:rsidP="003B2295">
      <w:pPr>
        <w:pStyle w:val="Reference"/>
        <w:spacing w:after="160"/>
      </w:pPr>
      <w:bookmarkStart w:id="107" w:name="_Ref71662548"/>
      <w:r w:rsidRPr="00087AB3">
        <w:t>TS 38.213, “NR; Physical layer procedures for control (Release 16)”, 3GPP, V1</w:t>
      </w:r>
      <w:r w:rsidR="006E7F40">
        <w:t>7</w:t>
      </w:r>
      <w:r w:rsidRPr="00087AB3">
        <w:t>.</w:t>
      </w:r>
      <w:r w:rsidR="006E7F40">
        <w:t>0</w:t>
      </w:r>
      <w:r w:rsidRPr="00087AB3">
        <w:t xml:space="preserve">.0, </w:t>
      </w:r>
      <w:r w:rsidR="006E7F40">
        <w:t>December</w:t>
      </w:r>
      <w:r w:rsidRPr="00087AB3">
        <w:t xml:space="preserve"> 2021.</w:t>
      </w:r>
      <w:bookmarkEnd w:id="107"/>
    </w:p>
    <w:p w14:paraId="0CE7AD01" w14:textId="6015BE0C" w:rsidR="000B7C8E" w:rsidRPr="00087AB3" w:rsidRDefault="000B7C8E" w:rsidP="003B2295">
      <w:pPr>
        <w:pStyle w:val="Reference"/>
        <w:spacing w:after="160"/>
      </w:pPr>
      <w:bookmarkStart w:id="108" w:name="_Ref89867068"/>
      <w:r>
        <w:t>R1-2112930 “Introduction on enhanced IAB in NR (CR 38.213)” Samsung, RAN1#107-e, December 2021</w:t>
      </w:r>
      <w:bookmarkEnd w:id="108"/>
    </w:p>
    <w:p w14:paraId="2B88FE4F" w14:textId="77777777" w:rsidR="00454743" w:rsidRPr="00087AB3" w:rsidRDefault="00454743" w:rsidP="003B2295">
      <w:pPr>
        <w:pStyle w:val="Reference"/>
        <w:spacing w:after="160"/>
        <w:rPr>
          <w:rFonts w:cs="Arial"/>
        </w:rPr>
      </w:pPr>
      <w:bookmarkStart w:id="109" w:name="_Ref74242597"/>
      <w:r w:rsidRPr="00087AB3">
        <w:rPr>
          <w:rFonts w:cs="Arial"/>
        </w:rPr>
        <w:t>R1-2105840, “Discussion on the payload size of the DCI format 2_5,” Ericsson, RAN1 #105-e, May 2021.</w:t>
      </w:r>
      <w:bookmarkEnd w:id="109"/>
    </w:p>
    <w:p w14:paraId="4190F20B" w14:textId="0A6F22A1" w:rsidR="00454743" w:rsidRPr="00087AB3" w:rsidRDefault="00454743" w:rsidP="003B2295">
      <w:pPr>
        <w:pStyle w:val="Reference"/>
        <w:spacing w:after="160"/>
      </w:pPr>
      <w:bookmarkStart w:id="110" w:name="_Ref71663095"/>
      <w:r w:rsidRPr="00087AB3">
        <w:t>TS 38.212, “NR; Multiplexing and channel coding (Release 16)”, 3GPP, V16.</w:t>
      </w:r>
      <w:r w:rsidR="00D3649E">
        <w:t>8</w:t>
      </w:r>
      <w:r w:rsidRPr="00087AB3">
        <w:t xml:space="preserve">.0, </w:t>
      </w:r>
      <w:r w:rsidR="00D3649E">
        <w:t>December</w:t>
      </w:r>
      <w:r w:rsidRPr="00087AB3">
        <w:t xml:space="preserve"> 2021.</w:t>
      </w:r>
      <w:bookmarkEnd w:id="110"/>
    </w:p>
    <w:p w14:paraId="6B68FF34" w14:textId="26F67336" w:rsidR="00454743" w:rsidRPr="00087AB3" w:rsidRDefault="00454743" w:rsidP="003B2295">
      <w:pPr>
        <w:pStyle w:val="Reference"/>
        <w:spacing w:after="160"/>
        <w:rPr>
          <w:rFonts w:cs="Arial"/>
        </w:rPr>
      </w:pPr>
      <w:bookmarkStart w:id="111" w:name="_Ref81601641"/>
      <w:r w:rsidRPr="00087AB3">
        <w:rPr>
          <w:rFonts w:cs="Arial"/>
        </w:rPr>
        <w:t>R1-2108109, “Discussion on overlapping DCI format 2_5 indications,” Ericsson, RAN1 #106-e, August 2021.</w:t>
      </w:r>
      <w:bookmarkEnd w:id="111"/>
    </w:p>
    <w:p w14:paraId="5E4D09D0" w14:textId="4E35C955" w:rsidR="003A7EF3" w:rsidRPr="00561F0D" w:rsidRDefault="006A6226" w:rsidP="003B2295">
      <w:pPr>
        <w:pStyle w:val="Reference"/>
        <w:spacing w:after="160"/>
      </w:pPr>
      <w:bookmarkStart w:id="112" w:name="_Ref74586978"/>
      <w:r w:rsidRPr="00087AB3">
        <w:t>TS 38.331, “NR; Radio Resource Control (RRC); Protocol specification (Release 16)”, 3GPP, V16.</w:t>
      </w:r>
      <w:r w:rsidR="00880F6F">
        <w:t>7</w:t>
      </w:r>
      <w:r w:rsidRPr="00087AB3">
        <w:t xml:space="preserve">.0, </w:t>
      </w:r>
      <w:r w:rsidR="00880F6F">
        <w:t>December</w:t>
      </w:r>
      <w:r w:rsidRPr="00087AB3">
        <w:t xml:space="preserve"> 2021.</w:t>
      </w:r>
      <w:bookmarkEnd w:id="97"/>
      <w:bookmarkEnd w:id="102"/>
      <w:bookmarkEnd w:id="103"/>
      <w:bookmarkEnd w:id="112"/>
    </w:p>
    <w:p w14:paraId="4DD8D1A3" w14:textId="0479512A" w:rsidR="00561F0D" w:rsidRPr="00087AB3" w:rsidRDefault="00561F0D" w:rsidP="003B2295">
      <w:pPr>
        <w:pStyle w:val="Reference"/>
        <w:spacing w:after="160"/>
      </w:pPr>
      <w:bookmarkStart w:id="113" w:name="_Ref85402065"/>
      <w:r w:rsidRPr="00087AB3">
        <w:t>TS 38.</w:t>
      </w:r>
      <w:r>
        <w:t>306</w:t>
      </w:r>
      <w:r w:rsidRPr="00087AB3">
        <w:t xml:space="preserve">, “NR; </w:t>
      </w:r>
      <w:r>
        <w:t>User Equipment (UE) radio access capabilities</w:t>
      </w:r>
      <w:r w:rsidRPr="00087AB3">
        <w:t xml:space="preserve"> (Release 16)”, 3GPP, V16.</w:t>
      </w:r>
      <w:r w:rsidR="00794C4B">
        <w:t>7</w:t>
      </w:r>
      <w:r w:rsidRPr="00087AB3">
        <w:t xml:space="preserve">.0, </w:t>
      </w:r>
      <w:r w:rsidR="00794C4B">
        <w:t>December</w:t>
      </w:r>
      <w:r w:rsidRPr="00087AB3">
        <w:t xml:space="preserve"> 2021.</w:t>
      </w:r>
      <w:bookmarkEnd w:id="113"/>
      <w:bookmarkEnd w:id="0"/>
    </w:p>
    <w:sectPr w:rsidR="00561F0D" w:rsidRPr="00087AB3"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06906" w14:textId="77777777" w:rsidR="00E374B2" w:rsidRDefault="00E374B2">
      <w:r>
        <w:separator/>
      </w:r>
    </w:p>
  </w:endnote>
  <w:endnote w:type="continuationSeparator" w:id="0">
    <w:p w14:paraId="5F7B58CA" w14:textId="77777777" w:rsidR="00E374B2" w:rsidRDefault="00E374B2">
      <w:r>
        <w:continuationSeparator/>
      </w:r>
    </w:p>
  </w:endnote>
  <w:endnote w:type="continuationNotice" w:id="1">
    <w:p w14:paraId="0FC51BE9" w14:textId="77777777" w:rsidR="00E374B2" w:rsidRDefault="00E374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13E85" w14:textId="12B7D68D" w:rsidR="00E374B2" w:rsidRDefault="00E374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2B9E6" w14:textId="77777777" w:rsidR="00E374B2" w:rsidRDefault="00E374B2">
      <w:r>
        <w:separator/>
      </w:r>
    </w:p>
  </w:footnote>
  <w:footnote w:type="continuationSeparator" w:id="0">
    <w:p w14:paraId="6725BA58" w14:textId="77777777" w:rsidR="00E374B2" w:rsidRDefault="00E374B2">
      <w:r>
        <w:continuationSeparator/>
      </w:r>
    </w:p>
  </w:footnote>
  <w:footnote w:type="continuationNotice" w:id="1">
    <w:p w14:paraId="72E74C51" w14:textId="77777777" w:rsidR="00E374B2" w:rsidRDefault="00E374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C6D0" w14:textId="77777777" w:rsidR="00E374B2" w:rsidRDefault="00E374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6833A7"/>
    <w:multiLevelType w:val="multilevel"/>
    <w:tmpl w:val="70420316"/>
    <w:lvl w:ilvl="0">
      <w:start w:val="1"/>
      <w:numFmt w:val="decimal"/>
      <w:pStyle w:val="Heading1"/>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851"/>
        </w:tabs>
        <w:ind w:left="851" w:hanging="851"/>
      </w:pPr>
      <w:rPr>
        <w:rFonts w:hint="default"/>
        <w:u w:val="none"/>
      </w:rPr>
    </w:lvl>
    <w:lvl w:ilvl="3">
      <w:start w:val="1"/>
      <w:numFmt w:val="decimal"/>
      <w:pStyle w:val="Heading4"/>
      <w:lvlText w:val="%1.%2.%3.%4"/>
      <w:lvlJc w:val="left"/>
      <w:pPr>
        <w:tabs>
          <w:tab w:val="num" w:pos="851"/>
        </w:tabs>
        <w:ind w:left="85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 w15:restartNumberingAfterBreak="0">
    <w:nsid w:val="0B503783"/>
    <w:multiLevelType w:val="hybridMultilevel"/>
    <w:tmpl w:val="7CF0689E"/>
    <w:lvl w:ilvl="0" w:tplc="FA1C89A8">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C9348B"/>
    <w:multiLevelType w:val="hybridMultilevel"/>
    <w:tmpl w:val="047C7C8A"/>
    <w:lvl w:ilvl="0" w:tplc="4B0C80A8">
      <w:start w:val="1"/>
      <w:numFmt w:val="bullet"/>
      <w:lvlText w:val=""/>
      <w:lvlJc w:val="left"/>
      <w:pPr>
        <w:tabs>
          <w:tab w:val="num" w:pos="720"/>
        </w:tabs>
        <w:ind w:left="720" w:hanging="360"/>
      </w:pPr>
      <w:rPr>
        <w:rFonts w:ascii="Symbol" w:hAnsi="Symbol" w:hint="default"/>
      </w:rPr>
    </w:lvl>
    <w:lvl w:ilvl="1" w:tplc="0E368F44" w:tentative="1">
      <w:start w:val="1"/>
      <w:numFmt w:val="bullet"/>
      <w:lvlText w:val=""/>
      <w:lvlJc w:val="left"/>
      <w:pPr>
        <w:tabs>
          <w:tab w:val="num" w:pos="1440"/>
        </w:tabs>
        <w:ind w:left="1440" w:hanging="360"/>
      </w:pPr>
      <w:rPr>
        <w:rFonts w:ascii="Symbol" w:hAnsi="Symbol" w:hint="default"/>
      </w:rPr>
    </w:lvl>
    <w:lvl w:ilvl="2" w:tplc="895E6540" w:tentative="1">
      <w:start w:val="1"/>
      <w:numFmt w:val="bullet"/>
      <w:lvlText w:val=""/>
      <w:lvlJc w:val="left"/>
      <w:pPr>
        <w:tabs>
          <w:tab w:val="num" w:pos="2160"/>
        </w:tabs>
        <w:ind w:left="2160" w:hanging="360"/>
      </w:pPr>
      <w:rPr>
        <w:rFonts w:ascii="Symbol" w:hAnsi="Symbol" w:hint="default"/>
      </w:rPr>
    </w:lvl>
    <w:lvl w:ilvl="3" w:tplc="B704B8C0" w:tentative="1">
      <w:start w:val="1"/>
      <w:numFmt w:val="bullet"/>
      <w:lvlText w:val=""/>
      <w:lvlJc w:val="left"/>
      <w:pPr>
        <w:tabs>
          <w:tab w:val="num" w:pos="2880"/>
        </w:tabs>
        <w:ind w:left="2880" w:hanging="360"/>
      </w:pPr>
      <w:rPr>
        <w:rFonts w:ascii="Symbol" w:hAnsi="Symbol" w:hint="default"/>
      </w:rPr>
    </w:lvl>
    <w:lvl w:ilvl="4" w:tplc="2962DFC8" w:tentative="1">
      <w:start w:val="1"/>
      <w:numFmt w:val="bullet"/>
      <w:lvlText w:val=""/>
      <w:lvlJc w:val="left"/>
      <w:pPr>
        <w:tabs>
          <w:tab w:val="num" w:pos="3600"/>
        </w:tabs>
        <w:ind w:left="3600" w:hanging="360"/>
      </w:pPr>
      <w:rPr>
        <w:rFonts w:ascii="Symbol" w:hAnsi="Symbol" w:hint="default"/>
      </w:rPr>
    </w:lvl>
    <w:lvl w:ilvl="5" w:tplc="96C80184" w:tentative="1">
      <w:start w:val="1"/>
      <w:numFmt w:val="bullet"/>
      <w:lvlText w:val=""/>
      <w:lvlJc w:val="left"/>
      <w:pPr>
        <w:tabs>
          <w:tab w:val="num" w:pos="4320"/>
        </w:tabs>
        <w:ind w:left="4320" w:hanging="360"/>
      </w:pPr>
      <w:rPr>
        <w:rFonts w:ascii="Symbol" w:hAnsi="Symbol" w:hint="default"/>
      </w:rPr>
    </w:lvl>
    <w:lvl w:ilvl="6" w:tplc="A6B64404" w:tentative="1">
      <w:start w:val="1"/>
      <w:numFmt w:val="bullet"/>
      <w:lvlText w:val=""/>
      <w:lvlJc w:val="left"/>
      <w:pPr>
        <w:tabs>
          <w:tab w:val="num" w:pos="5040"/>
        </w:tabs>
        <w:ind w:left="5040" w:hanging="360"/>
      </w:pPr>
      <w:rPr>
        <w:rFonts w:ascii="Symbol" w:hAnsi="Symbol" w:hint="default"/>
      </w:rPr>
    </w:lvl>
    <w:lvl w:ilvl="7" w:tplc="CD24861E" w:tentative="1">
      <w:start w:val="1"/>
      <w:numFmt w:val="bullet"/>
      <w:lvlText w:val=""/>
      <w:lvlJc w:val="left"/>
      <w:pPr>
        <w:tabs>
          <w:tab w:val="num" w:pos="5760"/>
        </w:tabs>
        <w:ind w:left="5760" w:hanging="360"/>
      </w:pPr>
      <w:rPr>
        <w:rFonts w:ascii="Symbol" w:hAnsi="Symbol" w:hint="default"/>
      </w:rPr>
    </w:lvl>
    <w:lvl w:ilvl="8" w:tplc="BB3469C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E83EC7"/>
    <w:multiLevelType w:val="hybridMultilevel"/>
    <w:tmpl w:val="58CC12E4"/>
    <w:lvl w:ilvl="0" w:tplc="2D50B548">
      <w:start w:val="1"/>
      <w:numFmt w:val="bullet"/>
      <w:lvlText w:val="•"/>
      <w:lvlJc w:val="left"/>
      <w:pPr>
        <w:tabs>
          <w:tab w:val="num" w:pos="720"/>
        </w:tabs>
        <w:ind w:left="720" w:hanging="360"/>
      </w:pPr>
      <w:rPr>
        <w:rFonts w:ascii="Arial" w:hAnsi="Arial" w:hint="default"/>
      </w:rPr>
    </w:lvl>
    <w:lvl w:ilvl="1" w:tplc="40440432" w:tentative="1">
      <w:start w:val="1"/>
      <w:numFmt w:val="bullet"/>
      <w:lvlText w:val="•"/>
      <w:lvlJc w:val="left"/>
      <w:pPr>
        <w:tabs>
          <w:tab w:val="num" w:pos="1440"/>
        </w:tabs>
        <w:ind w:left="1440" w:hanging="360"/>
      </w:pPr>
      <w:rPr>
        <w:rFonts w:ascii="Arial" w:hAnsi="Arial" w:hint="default"/>
      </w:rPr>
    </w:lvl>
    <w:lvl w:ilvl="2" w:tplc="4F189A16" w:tentative="1">
      <w:start w:val="1"/>
      <w:numFmt w:val="bullet"/>
      <w:lvlText w:val="•"/>
      <w:lvlJc w:val="left"/>
      <w:pPr>
        <w:tabs>
          <w:tab w:val="num" w:pos="2160"/>
        </w:tabs>
        <w:ind w:left="2160" w:hanging="360"/>
      </w:pPr>
      <w:rPr>
        <w:rFonts w:ascii="Arial" w:hAnsi="Arial" w:hint="default"/>
      </w:rPr>
    </w:lvl>
    <w:lvl w:ilvl="3" w:tplc="CA0600F2" w:tentative="1">
      <w:start w:val="1"/>
      <w:numFmt w:val="bullet"/>
      <w:lvlText w:val="•"/>
      <w:lvlJc w:val="left"/>
      <w:pPr>
        <w:tabs>
          <w:tab w:val="num" w:pos="2880"/>
        </w:tabs>
        <w:ind w:left="2880" w:hanging="360"/>
      </w:pPr>
      <w:rPr>
        <w:rFonts w:ascii="Arial" w:hAnsi="Arial" w:hint="default"/>
      </w:rPr>
    </w:lvl>
    <w:lvl w:ilvl="4" w:tplc="7FD80138" w:tentative="1">
      <w:start w:val="1"/>
      <w:numFmt w:val="bullet"/>
      <w:lvlText w:val="•"/>
      <w:lvlJc w:val="left"/>
      <w:pPr>
        <w:tabs>
          <w:tab w:val="num" w:pos="3600"/>
        </w:tabs>
        <w:ind w:left="3600" w:hanging="360"/>
      </w:pPr>
      <w:rPr>
        <w:rFonts w:ascii="Arial" w:hAnsi="Arial" w:hint="default"/>
      </w:rPr>
    </w:lvl>
    <w:lvl w:ilvl="5" w:tplc="301AD286" w:tentative="1">
      <w:start w:val="1"/>
      <w:numFmt w:val="bullet"/>
      <w:lvlText w:val="•"/>
      <w:lvlJc w:val="left"/>
      <w:pPr>
        <w:tabs>
          <w:tab w:val="num" w:pos="4320"/>
        </w:tabs>
        <w:ind w:left="4320" w:hanging="360"/>
      </w:pPr>
      <w:rPr>
        <w:rFonts w:ascii="Arial" w:hAnsi="Arial" w:hint="default"/>
      </w:rPr>
    </w:lvl>
    <w:lvl w:ilvl="6" w:tplc="E904F888" w:tentative="1">
      <w:start w:val="1"/>
      <w:numFmt w:val="bullet"/>
      <w:lvlText w:val="•"/>
      <w:lvlJc w:val="left"/>
      <w:pPr>
        <w:tabs>
          <w:tab w:val="num" w:pos="5040"/>
        </w:tabs>
        <w:ind w:left="5040" w:hanging="360"/>
      </w:pPr>
      <w:rPr>
        <w:rFonts w:ascii="Arial" w:hAnsi="Arial" w:hint="default"/>
      </w:rPr>
    </w:lvl>
    <w:lvl w:ilvl="7" w:tplc="FE2452B8" w:tentative="1">
      <w:start w:val="1"/>
      <w:numFmt w:val="bullet"/>
      <w:lvlText w:val="•"/>
      <w:lvlJc w:val="left"/>
      <w:pPr>
        <w:tabs>
          <w:tab w:val="num" w:pos="5760"/>
        </w:tabs>
        <w:ind w:left="5760" w:hanging="360"/>
      </w:pPr>
      <w:rPr>
        <w:rFonts w:ascii="Arial" w:hAnsi="Arial" w:hint="default"/>
      </w:rPr>
    </w:lvl>
    <w:lvl w:ilvl="8" w:tplc="D938ED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597937"/>
    <w:multiLevelType w:val="hybridMultilevel"/>
    <w:tmpl w:val="26AC03DA"/>
    <w:lvl w:ilvl="0" w:tplc="38D6CF0A">
      <w:start w:val="1"/>
      <w:numFmt w:val="bullet"/>
      <w:lvlText w:val=""/>
      <w:lvlJc w:val="left"/>
      <w:pPr>
        <w:tabs>
          <w:tab w:val="num" w:pos="720"/>
        </w:tabs>
        <w:ind w:left="720" w:hanging="360"/>
      </w:pPr>
      <w:rPr>
        <w:rFonts w:ascii="Symbol" w:hAnsi="Symbol" w:hint="default"/>
      </w:rPr>
    </w:lvl>
    <w:lvl w:ilvl="1" w:tplc="6D5CD0A4" w:tentative="1">
      <w:start w:val="1"/>
      <w:numFmt w:val="bullet"/>
      <w:lvlText w:val=""/>
      <w:lvlJc w:val="left"/>
      <w:pPr>
        <w:tabs>
          <w:tab w:val="num" w:pos="1440"/>
        </w:tabs>
        <w:ind w:left="1440" w:hanging="360"/>
      </w:pPr>
      <w:rPr>
        <w:rFonts w:ascii="Symbol" w:hAnsi="Symbol" w:hint="default"/>
      </w:rPr>
    </w:lvl>
    <w:lvl w:ilvl="2" w:tplc="9B30FEA2" w:tentative="1">
      <w:start w:val="1"/>
      <w:numFmt w:val="bullet"/>
      <w:lvlText w:val=""/>
      <w:lvlJc w:val="left"/>
      <w:pPr>
        <w:tabs>
          <w:tab w:val="num" w:pos="2160"/>
        </w:tabs>
        <w:ind w:left="2160" w:hanging="360"/>
      </w:pPr>
      <w:rPr>
        <w:rFonts w:ascii="Symbol" w:hAnsi="Symbol" w:hint="default"/>
      </w:rPr>
    </w:lvl>
    <w:lvl w:ilvl="3" w:tplc="2468F7B8" w:tentative="1">
      <w:start w:val="1"/>
      <w:numFmt w:val="bullet"/>
      <w:lvlText w:val=""/>
      <w:lvlJc w:val="left"/>
      <w:pPr>
        <w:tabs>
          <w:tab w:val="num" w:pos="2880"/>
        </w:tabs>
        <w:ind w:left="2880" w:hanging="360"/>
      </w:pPr>
      <w:rPr>
        <w:rFonts w:ascii="Symbol" w:hAnsi="Symbol" w:hint="default"/>
      </w:rPr>
    </w:lvl>
    <w:lvl w:ilvl="4" w:tplc="F7E21B62" w:tentative="1">
      <w:start w:val="1"/>
      <w:numFmt w:val="bullet"/>
      <w:lvlText w:val=""/>
      <w:lvlJc w:val="left"/>
      <w:pPr>
        <w:tabs>
          <w:tab w:val="num" w:pos="3600"/>
        </w:tabs>
        <w:ind w:left="3600" w:hanging="360"/>
      </w:pPr>
      <w:rPr>
        <w:rFonts w:ascii="Symbol" w:hAnsi="Symbol" w:hint="default"/>
      </w:rPr>
    </w:lvl>
    <w:lvl w:ilvl="5" w:tplc="EE8E70D6" w:tentative="1">
      <w:start w:val="1"/>
      <w:numFmt w:val="bullet"/>
      <w:lvlText w:val=""/>
      <w:lvlJc w:val="left"/>
      <w:pPr>
        <w:tabs>
          <w:tab w:val="num" w:pos="4320"/>
        </w:tabs>
        <w:ind w:left="4320" w:hanging="360"/>
      </w:pPr>
      <w:rPr>
        <w:rFonts w:ascii="Symbol" w:hAnsi="Symbol" w:hint="default"/>
      </w:rPr>
    </w:lvl>
    <w:lvl w:ilvl="6" w:tplc="35627DC6" w:tentative="1">
      <w:start w:val="1"/>
      <w:numFmt w:val="bullet"/>
      <w:lvlText w:val=""/>
      <w:lvlJc w:val="left"/>
      <w:pPr>
        <w:tabs>
          <w:tab w:val="num" w:pos="5040"/>
        </w:tabs>
        <w:ind w:left="5040" w:hanging="360"/>
      </w:pPr>
      <w:rPr>
        <w:rFonts w:ascii="Symbol" w:hAnsi="Symbol" w:hint="default"/>
      </w:rPr>
    </w:lvl>
    <w:lvl w:ilvl="7" w:tplc="BD420BFE" w:tentative="1">
      <w:start w:val="1"/>
      <w:numFmt w:val="bullet"/>
      <w:lvlText w:val=""/>
      <w:lvlJc w:val="left"/>
      <w:pPr>
        <w:tabs>
          <w:tab w:val="num" w:pos="5760"/>
        </w:tabs>
        <w:ind w:left="5760" w:hanging="360"/>
      </w:pPr>
      <w:rPr>
        <w:rFonts w:ascii="Symbol" w:hAnsi="Symbol" w:hint="default"/>
      </w:rPr>
    </w:lvl>
    <w:lvl w:ilvl="8" w:tplc="6784B63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647614"/>
    <w:multiLevelType w:val="hybridMultilevel"/>
    <w:tmpl w:val="6AA2360C"/>
    <w:lvl w:ilvl="0" w:tplc="EBB4FDD0">
      <w:start w:val="1"/>
      <w:numFmt w:val="bullet"/>
      <w:lvlText w:val="•"/>
      <w:lvlJc w:val="left"/>
      <w:pPr>
        <w:tabs>
          <w:tab w:val="num" w:pos="720"/>
        </w:tabs>
        <w:ind w:left="720" w:hanging="360"/>
      </w:pPr>
      <w:rPr>
        <w:rFonts w:ascii="Arial" w:hAnsi="Arial" w:hint="default"/>
      </w:rPr>
    </w:lvl>
    <w:lvl w:ilvl="1" w:tplc="DE285472" w:tentative="1">
      <w:start w:val="1"/>
      <w:numFmt w:val="bullet"/>
      <w:lvlText w:val="•"/>
      <w:lvlJc w:val="left"/>
      <w:pPr>
        <w:tabs>
          <w:tab w:val="num" w:pos="1440"/>
        </w:tabs>
        <w:ind w:left="1440" w:hanging="360"/>
      </w:pPr>
      <w:rPr>
        <w:rFonts w:ascii="Arial" w:hAnsi="Arial" w:hint="default"/>
      </w:rPr>
    </w:lvl>
    <w:lvl w:ilvl="2" w:tplc="33CECCE2" w:tentative="1">
      <w:start w:val="1"/>
      <w:numFmt w:val="bullet"/>
      <w:lvlText w:val="•"/>
      <w:lvlJc w:val="left"/>
      <w:pPr>
        <w:tabs>
          <w:tab w:val="num" w:pos="2160"/>
        </w:tabs>
        <w:ind w:left="2160" w:hanging="360"/>
      </w:pPr>
      <w:rPr>
        <w:rFonts w:ascii="Arial" w:hAnsi="Arial" w:hint="default"/>
      </w:rPr>
    </w:lvl>
    <w:lvl w:ilvl="3" w:tplc="9C5CF3F2" w:tentative="1">
      <w:start w:val="1"/>
      <w:numFmt w:val="bullet"/>
      <w:lvlText w:val="•"/>
      <w:lvlJc w:val="left"/>
      <w:pPr>
        <w:tabs>
          <w:tab w:val="num" w:pos="2880"/>
        </w:tabs>
        <w:ind w:left="2880" w:hanging="360"/>
      </w:pPr>
      <w:rPr>
        <w:rFonts w:ascii="Arial" w:hAnsi="Arial" w:hint="default"/>
      </w:rPr>
    </w:lvl>
    <w:lvl w:ilvl="4" w:tplc="3844FE5E" w:tentative="1">
      <w:start w:val="1"/>
      <w:numFmt w:val="bullet"/>
      <w:lvlText w:val="•"/>
      <w:lvlJc w:val="left"/>
      <w:pPr>
        <w:tabs>
          <w:tab w:val="num" w:pos="3600"/>
        </w:tabs>
        <w:ind w:left="3600" w:hanging="360"/>
      </w:pPr>
      <w:rPr>
        <w:rFonts w:ascii="Arial" w:hAnsi="Arial" w:hint="default"/>
      </w:rPr>
    </w:lvl>
    <w:lvl w:ilvl="5" w:tplc="0C488FA2" w:tentative="1">
      <w:start w:val="1"/>
      <w:numFmt w:val="bullet"/>
      <w:lvlText w:val="•"/>
      <w:lvlJc w:val="left"/>
      <w:pPr>
        <w:tabs>
          <w:tab w:val="num" w:pos="4320"/>
        </w:tabs>
        <w:ind w:left="4320" w:hanging="360"/>
      </w:pPr>
      <w:rPr>
        <w:rFonts w:ascii="Arial" w:hAnsi="Arial" w:hint="default"/>
      </w:rPr>
    </w:lvl>
    <w:lvl w:ilvl="6" w:tplc="E5C451B8" w:tentative="1">
      <w:start w:val="1"/>
      <w:numFmt w:val="bullet"/>
      <w:lvlText w:val="•"/>
      <w:lvlJc w:val="left"/>
      <w:pPr>
        <w:tabs>
          <w:tab w:val="num" w:pos="5040"/>
        </w:tabs>
        <w:ind w:left="5040" w:hanging="360"/>
      </w:pPr>
      <w:rPr>
        <w:rFonts w:ascii="Arial" w:hAnsi="Arial" w:hint="default"/>
      </w:rPr>
    </w:lvl>
    <w:lvl w:ilvl="7" w:tplc="89BC7B28" w:tentative="1">
      <w:start w:val="1"/>
      <w:numFmt w:val="bullet"/>
      <w:lvlText w:val="•"/>
      <w:lvlJc w:val="left"/>
      <w:pPr>
        <w:tabs>
          <w:tab w:val="num" w:pos="5760"/>
        </w:tabs>
        <w:ind w:left="5760" w:hanging="360"/>
      </w:pPr>
      <w:rPr>
        <w:rFonts w:ascii="Arial" w:hAnsi="Arial" w:hint="default"/>
      </w:rPr>
    </w:lvl>
    <w:lvl w:ilvl="8" w:tplc="17B61D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BC1647"/>
    <w:multiLevelType w:val="hybridMultilevel"/>
    <w:tmpl w:val="C26C528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202683"/>
    <w:multiLevelType w:val="hybridMultilevel"/>
    <w:tmpl w:val="506A81D6"/>
    <w:lvl w:ilvl="0" w:tplc="7EC247EE">
      <w:start w:val="1"/>
      <w:numFmt w:val="bullet"/>
      <w:lvlText w:val="•"/>
      <w:lvlJc w:val="left"/>
      <w:pPr>
        <w:tabs>
          <w:tab w:val="num" w:pos="720"/>
        </w:tabs>
        <w:ind w:left="720" w:hanging="360"/>
      </w:pPr>
      <w:rPr>
        <w:rFonts w:ascii="Arial" w:hAnsi="Arial" w:hint="default"/>
      </w:rPr>
    </w:lvl>
    <w:lvl w:ilvl="1" w:tplc="08F86D04" w:tentative="1">
      <w:start w:val="1"/>
      <w:numFmt w:val="bullet"/>
      <w:lvlText w:val="•"/>
      <w:lvlJc w:val="left"/>
      <w:pPr>
        <w:tabs>
          <w:tab w:val="num" w:pos="1440"/>
        </w:tabs>
        <w:ind w:left="1440" w:hanging="360"/>
      </w:pPr>
      <w:rPr>
        <w:rFonts w:ascii="Arial" w:hAnsi="Arial" w:hint="default"/>
      </w:rPr>
    </w:lvl>
    <w:lvl w:ilvl="2" w:tplc="AE523694" w:tentative="1">
      <w:start w:val="1"/>
      <w:numFmt w:val="bullet"/>
      <w:lvlText w:val="•"/>
      <w:lvlJc w:val="left"/>
      <w:pPr>
        <w:tabs>
          <w:tab w:val="num" w:pos="2160"/>
        </w:tabs>
        <w:ind w:left="2160" w:hanging="360"/>
      </w:pPr>
      <w:rPr>
        <w:rFonts w:ascii="Arial" w:hAnsi="Arial" w:hint="default"/>
      </w:rPr>
    </w:lvl>
    <w:lvl w:ilvl="3" w:tplc="24C26E76" w:tentative="1">
      <w:start w:val="1"/>
      <w:numFmt w:val="bullet"/>
      <w:lvlText w:val="•"/>
      <w:lvlJc w:val="left"/>
      <w:pPr>
        <w:tabs>
          <w:tab w:val="num" w:pos="2880"/>
        </w:tabs>
        <w:ind w:left="2880" w:hanging="360"/>
      </w:pPr>
      <w:rPr>
        <w:rFonts w:ascii="Arial" w:hAnsi="Arial" w:hint="default"/>
      </w:rPr>
    </w:lvl>
    <w:lvl w:ilvl="4" w:tplc="046E5626" w:tentative="1">
      <w:start w:val="1"/>
      <w:numFmt w:val="bullet"/>
      <w:lvlText w:val="•"/>
      <w:lvlJc w:val="left"/>
      <w:pPr>
        <w:tabs>
          <w:tab w:val="num" w:pos="3600"/>
        </w:tabs>
        <w:ind w:left="3600" w:hanging="360"/>
      </w:pPr>
      <w:rPr>
        <w:rFonts w:ascii="Arial" w:hAnsi="Arial" w:hint="default"/>
      </w:rPr>
    </w:lvl>
    <w:lvl w:ilvl="5" w:tplc="7660B474" w:tentative="1">
      <w:start w:val="1"/>
      <w:numFmt w:val="bullet"/>
      <w:lvlText w:val="•"/>
      <w:lvlJc w:val="left"/>
      <w:pPr>
        <w:tabs>
          <w:tab w:val="num" w:pos="4320"/>
        </w:tabs>
        <w:ind w:left="4320" w:hanging="360"/>
      </w:pPr>
      <w:rPr>
        <w:rFonts w:ascii="Arial" w:hAnsi="Arial" w:hint="default"/>
      </w:rPr>
    </w:lvl>
    <w:lvl w:ilvl="6" w:tplc="7E1EB164" w:tentative="1">
      <w:start w:val="1"/>
      <w:numFmt w:val="bullet"/>
      <w:lvlText w:val="•"/>
      <w:lvlJc w:val="left"/>
      <w:pPr>
        <w:tabs>
          <w:tab w:val="num" w:pos="5040"/>
        </w:tabs>
        <w:ind w:left="5040" w:hanging="360"/>
      </w:pPr>
      <w:rPr>
        <w:rFonts w:ascii="Arial" w:hAnsi="Arial" w:hint="default"/>
      </w:rPr>
    </w:lvl>
    <w:lvl w:ilvl="7" w:tplc="EE222D68" w:tentative="1">
      <w:start w:val="1"/>
      <w:numFmt w:val="bullet"/>
      <w:lvlText w:val="•"/>
      <w:lvlJc w:val="left"/>
      <w:pPr>
        <w:tabs>
          <w:tab w:val="num" w:pos="5760"/>
        </w:tabs>
        <w:ind w:left="5760" w:hanging="360"/>
      </w:pPr>
      <w:rPr>
        <w:rFonts w:ascii="Arial" w:hAnsi="Arial" w:hint="default"/>
      </w:rPr>
    </w:lvl>
    <w:lvl w:ilvl="8" w:tplc="569C15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FD10F38"/>
    <w:multiLevelType w:val="hybridMultilevel"/>
    <w:tmpl w:val="30EAF5C0"/>
    <w:lvl w:ilvl="0" w:tplc="6E6A3718">
      <w:start w:val="1"/>
      <w:numFmt w:val="bullet"/>
      <w:lvlText w:val="•"/>
      <w:lvlJc w:val="left"/>
      <w:pPr>
        <w:tabs>
          <w:tab w:val="num" w:pos="720"/>
        </w:tabs>
        <w:ind w:left="720" w:hanging="360"/>
      </w:pPr>
      <w:rPr>
        <w:rFonts w:ascii="Arial" w:hAnsi="Arial" w:hint="default"/>
      </w:rPr>
    </w:lvl>
    <w:lvl w:ilvl="1" w:tplc="041CEB24" w:tentative="1">
      <w:start w:val="1"/>
      <w:numFmt w:val="bullet"/>
      <w:lvlText w:val="•"/>
      <w:lvlJc w:val="left"/>
      <w:pPr>
        <w:tabs>
          <w:tab w:val="num" w:pos="1440"/>
        </w:tabs>
        <w:ind w:left="1440" w:hanging="360"/>
      </w:pPr>
      <w:rPr>
        <w:rFonts w:ascii="Arial" w:hAnsi="Arial" w:hint="default"/>
      </w:rPr>
    </w:lvl>
    <w:lvl w:ilvl="2" w:tplc="5A40AFE0" w:tentative="1">
      <w:start w:val="1"/>
      <w:numFmt w:val="bullet"/>
      <w:lvlText w:val="•"/>
      <w:lvlJc w:val="left"/>
      <w:pPr>
        <w:tabs>
          <w:tab w:val="num" w:pos="2160"/>
        </w:tabs>
        <w:ind w:left="2160" w:hanging="360"/>
      </w:pPr>
      <w:rPr>
        <w:rFonts w:ascii="Arial" w:hAnsi="Arial" w:hint="default"/>
      </w:rPr>
    </w:lvl>
    <w:lvl w:ilvl="3" w:tplc="C7906248" w:tentative="1">
      <w:start w:val="1"/>
      <w:numFmt w:val="bullet"/>
      <w:lvlText w:val="•"/>
      <w:lvlJc w:val="left"/>
      <w:pPr>
        <w:tabs>
          <w:tab w:val="num" w:pos="2880"/>
        </w:tabs>
        <w:ind w:left="2880" w:hanging="360"/>
      </w:pPr>
      <w:rPr>
        <w:rFonts w:ascii="Arial" w:hAnsi="Arial" w:hint="default"/>
      </w:rPr>
    </w:lvl>
    <w:lvl w:ilvl="4" w:tplc="BBB494D2" w:tentative="1">
      <w:start w:val="1"/>
      <w:numFmt w:val="bullet"/>
      <w:lvlText w:val="•"/>
      <w:lvlJc w:val="left"/>
      <w:pPr>
        <w:tabs>
          <w:tab w:val="num" w:pos="3600"/>
        </w:tabs>
        <w:ind w:left="3600" w:hanging="360"/>
      </w:pPr>
      <w:rPr>
        <w:rFonts w:ascii="Arial" w:hAnsi="Arial" w:hint="default"/>
      </w:rPr>
    </w:lvl>
    <w:lvl w:ilvl="5" w:tplc="D9307FB0" w:tentative="1">
      <w:start w:val="1"/>
      <w:numFmt w:val="bullet"/>
      <w:lvlText w:val="•"/>
      <w:lvlJc w:val="left"/>
      <w:pPr>
        <w:tabs>
          <w:tab w:val="num" w:pos="4320"/>
        </w:tabs>
        <w:ind w:left="4320" w:hanging="360"/>
      </w:pPr>
      <w:rPr>
        <w:rFonts w:ascii="Arial" w:hAnsi="Arial" w:hint="default"/>
      </w:rPr>
    </w:lvl>
    <w:lvl w:ilvl="6" w:tplc="E59AC274" w:tentative="1">
      <w:start w:val="1"/>
      <w:numFmt w:val="bullet"/>
      <w:lvlText w:val="•"/>
      <w:lvlJc w:val="left"/>
      <w:pPr>
        <w:tabs>
          <w:tab w:val="num" w:pos="5040"/>
        </w:tabs>
        <w:ind w:left="5040" w:hanging="360"/>
      </w:pPr>
      <w:rPr>
        <w:rFonts w:ascii="Arial" w:hAnsi="Arial" w:hint="default"/>
      </w:rPr>
    </w:lvl>
    <w:lvl w:ilvl="7" w:tplc="930E28B8" w:tentative="1">
      <w:start w:val="1"/>
      <w:numFmt w:val="bullet"/>
      <w:lvlText w:val="•"/>
      <w:lvlJc w:val="left"/>
      <w:pPr>
        <w:tabs>
          <w:tab w:val="num" w:pos="5760"/>
        </w:tabs>
        <w:ind w:left="5760" w:hanging="360"/>
      </w:pPr>
      <w:rPr>
        <w:rFonts w:ascii="Arial" w:hAnsi="Arial" w:hint="default"/>
      </w:rPr>
    </w:lvl>
    <w:lvl w:ilvl="8" w:tplc="69EC0C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204D37"/>
    <w:multiLevelType w:val="hybridMultilevel"/>
    <w:tmpl w:val="DBA6F656"/>
    <w:lvl w:ilvl="0" w:tplc="D43699B6">
      <w:start w:val="1"/>
      <w:numFmt w:val="bullet"/>
      <w:lvlText w:val=""/>
      <w:lvlJc w:val="left"/>
      <w:pPr>
        <w:tabs>
          <w:tab w:val="num" w:pos="720"/>
        </w:tabs>
        <w:ind w:left="720" w:hanging="360"/>
      </w:pPr>
      <w:rPr>
        <w:rFonts w:ascii="Symbol" w:hAnsi="Symbol" w:hint="default"/>
      </w:rPr>
    </w:lvl>
    <w:lvl w:ilvl="1" w:tplc="8AFC5B14" w:tentative="1">
      <w:start w:val="1"/>
      <w:numFmt w:val="bullet"/>
      <w:lvlText w:val=""/>
      <w:lvlJc w:val="left"/>
      <w:pPr>
        <w:tabs>
          <w:tab w:val="num" w:pos="1440"/>
        </w:tabs>
        <w:ind w:left="1440" w:hanging="360"/>
      </w:pPr>
      <w:rPr>
        <w:rFonts w:ascii="Symbol" w:hAnsi="Symbol" w:hint="default"/>
      </w:rPr>
    </w:lvl>
    <w:lvl w:ilvl="2" w:tplc="66BA8254" w:tentative="1">
      <w:start w:val="1"/>
      <w:numFmt w:val="bullet"/>
      <w:lvlText w:val=""/>
      <w:lvlJc w:val="left"/>
      <w:pPr>
        <w:tabs>
          <w:tab w:val="num" w:pos="2160"/>
        </w:tabs>
        <w:ind w:left="2160" w:hanging="360"/>
      </w:pPr>
      <w:rPr>
        <w:rFonts w:ascii="Symbol" w:hAnsi="Symbol" w:hint="default"/>
      </w:rPr>
    </w:lvl>
    <w:lvl w:ilvl="3" w:tplc="4E0C730E" w:tentative="1">
      <w:start w:val="1"/>
      <w:numFmt w:val="bullet"/>
      <w:lvlText w:val=""/>
      <w:lvlJc w:val="left"/>
      <w:pPr>
        <w:tabs>
          <w:tab w:val="num" w:pos="2880"/>
        </w:tabs>
        <w:ind w:left="2880" w:hanging="360"/>
      </w:pPr>
      <w:rPr>
        <w:rFonts w:ascii="Symbol" w:hAnsi="Symbol" w:hint="default"/>
      </w:rPr>
    </w:lvl>
    <w:lvl w:ilvl="4" w:tplc="7EDA04EA" w:tentative="1">
      <w:start w:val="1"/>
      <w:numFmt w:val="bullet"/>
      <w:lvlText w:val=""/>
      <w:lvlJc w:val="left"/>
      <w:pPr>
        <w:tabs>
          <w:tab w:val="num" w:pos="3600"/>
        </w:tabs>
        <w:ind w:left="3600" w:hanging="360"/>
      </w:pPr>
      <w:rPr>
        <w:rFonts w:ascii="Symbol" w:hAnsi="Symbol" w:hint="default"/>
      </w:rPr>
    </w:lvl>
    <w:lvl w:ilvl="5" w:tplc="CC2EB39E" w:tentative="1">
      <w:start w:val="1"/>
      <w:numFmt w:val="bullet"/>
      <w:lvlText w:val=""/>
      <w:lvlJc w:val="left"/>
      <w:pPr>
        <w:tabs>
          <w:tab w:val="num" w:pos="4320"/>
        </w:tabs>
        <w:ind w:left="4320" w:hanging="360"/>
      </w:pPr>
      <w:rPr>
        <w:rFonts w:ascii="Symbol" w:hAnsi="Symbol" w:hint="default"/>
      </w:rPr>
    </w:lvl>
    <w:lvl w:ilvl="6" w:tplc="413ABBE8" w:tentative="1">
      <w:start w:val="1"/>
      <w:numFmt w:val="bullet"/>
      <w:lvlText w:val=""/>
      <w:lvlJc w:val="left"/>
      <w:pPr>
        <w:tabs>
          <w:tab w:val="num" w:pos="5040"/>
        </w:tabs>
        <w:ind w:left="5040" w:hanging="360"/>
      </w:pPr>
      <w:rPr>
        <w:rFonts w:ascii="Symbol" w:hAnsi="Symbol" w:hint="default"/>
      </w:rPr>
    </w:lvl>
    <w:lvl w:ilvl="7" w:tplc="3C9E0506" w:tentative="1">
      <w:start w:val="1"/>
      <w:numFmt w:val="bullet"/>
      <w:lvlText w:val=""/>
      <w:lvlJc w:val="left"/>
      <w:pPr>
        <w:tabs>
          <w:tab w:val="num" w:pos="5760"/>
        </w:tabs>
        <w:ind w:left="5760" w:hanging="360"/>
      </w:pPr>
      <w:rPr>
        <w:rFonts w:ascii="Symbol" w:hAnsi="Symbol" w:hint="default"/>
      </w:rPr>
    </w:lvl>
    <w:lvl w:ilvl="8" w:tplc="21D2C51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0C7CA7"/>
    <w:multiLevelType w:val="hybridMultilevel"/>
    <w:tmpl w:val="AFE6B1E8"/>
    <w:lvl w:ilvl="0" w:tplc="90ACBABE">
      <w:start w:val="1"/>
      <w:numFmt w:val="bullet"/>
      <w:lvlText w:val=""/>
      <w:lvlJc w:val="left"/>
      <w:pPr>
        <w:tabs>
          <w:tab w:val="num" w:pos="720"/>
        </w:tabs>
        <w:ind w:left="720" w:hanging="360"/>
      </w:pPr>
      <w:rPr>
        <w:rFonts w:ascii="Symbol" w:hAnsi="Symbol" w:hint="default"/>
      </w:rPr>
    </w:lvl>
    <w:lvl w:ilvl="1" w:tplc="C35C41DC" w:tentative="1">
      <w:start w:val="1"/>
      <w:numFmt w:val="bullet"/>
      <w:lvlText w:val=""/>
      <w:lvlJc w:val="left"/>
      <w:pPr>
        <w:tabs>
          <w:tab w:val="num" w:pos="1440"/>
        </w:tabs>
        <w:ind w:left="1440" w:hanging="360"/>
      </w:pPr>
      <w:rPr>
        <w:rFonts w:ascii="Symbol" w:hAnsi="Symbol" w:hint="default"/>
      </w:rPr>
    </w:lvl>
    <w:lvl w:ilvl="2" w:tplc="03205DDA" w:tentative="1">
      <w:start w:val="1"/>
      <w:numFmt w:val="bullet"/>
      <w:lvlText w:val=""/>
      <w:lvlJc w:val="left"/>
      <w:pPr>
        <w:tabs>
          <w:tab w:val="num" w:pos="2160"/>
        </w:tabs>
        <w:ind w:left="2160" w:hanging="360"/>
      </w:pPr>
      <w:rPr>
        <w:rFonts w:ascii="Symbol" w:hAnsi="Symbol" w:hint="default"/>
      </w:rPr>
    </w:lvl>
    <w:lvl w:ilvl="3" w:tplc="0ED43712" w:tentative="1">
      <w:start w:val="1"/>
      <w:numFmt w:val="bullet"/>
      <w:lvlText w:val=""/>
      <w:lvlJc w:val="left"/>
      <w:pPr>
        <w:tabs>
          <w:tab w:val="num" w:pos="2880"/>
        </w:tabs>
        <w:ind w:left="2880" w:hanging="360"/>
      </w:pPr>
      <w:rPr>
        <w:rFonts w:ascii="Symbol" w:hAnsi="Symbol" w:hint="default"/>
      </w:rPr>
    </w:lvl>
    <w:lvl w:ilvl="4" w:tplc="35D2246E" w:tentative="1">
      <w:start w:val="1"/>
      <w:numFmt w:val="bullet"/>
      <w:lvlText w:val=""/>
      <w:lvlJc w:val="left"/>
      <w:pPr>
        <w:tabs>
          <w:tab w:val="num" w:pos="3600"/>
        </w:tabs>
        <w:ind w:left="3600" w:hanging="360"/>
      </w:pPr>
      <w:rPr>
        <w:rFonts w:ascii="Symbol" w:hAnsi="Symbol" w:hint="default"/>
      </w:rPr>
    </w:lvl>
    <w:lvl w:ilvl="5" w:tplc="083AEE36" w:tentative="1">
      <w:start w:val="1"/>
      <w:numFmt w:val="bullet"/>
      <w:lvlText w:val=""/>
      <w:lvlJc w:val="left"/>
      <w:pPr>
        <w:tabs>
          <w:tab w:val="num" w:pos="4320"/>
        </w:tabs>
        <w:ind w:left="4320" w:hanging="360"/>
      </w:pPr>
      <w:rPr>
        <w:rFonts w:ascii="Symbol" w:hAnsi="Symbol" w:hint="default"/>
      </w:rPr>
    </w:lvl>
    <w:lvl w:ilvl="6" w:tplc="554CDC38" w:tentative="1">
      <w:start w:val="1"/>
      <w:numFmt w:val="bullet"/>
      <w:lvlText w:val=""/>
      <w:lvlJc w:val="left"/>
      <w:pPr>
        <w:tabs>
          <w:tab w:val="num" w:pos="5040"/>
        </w:tabs>
        <w:ind w:left="5040" w:hanging="360"/>
      </w:pPr>
      <w:rPr>
        <w:rFonts w:ascii="Symbol" w:hAnsi="Symbol" w:hint="default"/>
      </w:rPr>
    </w:lvl>
    <w:lvl w:ilvl="7" w:tplc="CC461426" w:tentative="1">
      <w:start w:val="1"/>
      <w:numFmt w:val="bullet"/>
      <w:lvlText w:val=""/>
      <w:lvlJc w:val="left"/>
      <w:pPr>
        <w:tabs>
          <w:tab w:val="num" w:pos="5760"/>
        </w:tabs>
        <w:ind w:left="5760" w:hanging="360"/>
      </w:pPr>
      <w:rPr>
        <w:rFonts w:ascii="Symbol" w:hAnsi="Symbol" w:hint="default"/>
      </w:rPr>
    </w:lvl>
    <w:lvl w:ilvl="8" w:tplc="6558360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94017F9"/>
    <w:multiLevelType w:val="hybridMultilevel"/>
    <w:tmpl w:val="E4202C28"/>
    <w:lvl w:ilvl="0" w:tplc="493E2BE0">
      <w:start w:val="1"/>
      <w:numFmt w:val="bullet"/>
      <w:lvlText w:val=""/>
      <w:lvlJc w:val="left"/>
      <w:pPr>
        <w:tabs>
          <w:tab w:val="num" w:pos="720"/>
        </w:tabs>
        <w:ind w:left="720" w:hanging="360"/>
      </w:pPr>
      <w:rPr>
        <w:rFonts w:ascii="Symbol" w:hAnsi="Symbol" w:hint="default"/>
      </w:rPr>
    </w:lvl>
    <w:lvl w:ilvl="1" w:tplc="A8FEAFAE" w:tentative="1">
      <w:start w:val="1"/>
      <w:numFmt w:val="bullet"/>
      <w:lvlText w:val=""/>
      <w:lvlJc w:val="left"/>
      <w:pPr>
        <w:tabs>
          <w:tab w:val="num" w:pos="1440"/>
        </w:tabs>
        <w:ind w:left="1440" w:hanging="360"/>
      </w:pPr>
      <w:rPr>
        <w:rFonts w:ascii="Symbol" w:hAnsi="Symbol" w:hint="default"/>
      </w:rPr>
    </w:lvl>
    <w:lvl w:ilvl="2" w:tplc="2CD8D5F6" w:tentative="1">
      <w:start w:val="1"/>
      <w:numFmt w:val="bullet"/>
      <w:lvlText w:val=""/>
      <w:lvlJc w:val="left"/>
      <w:pPr>
        <w:tabs>
          <w:tab w:val="num" w:pos="2160"/>
        </w:tabs>
        <w:ind w:left="2160" w:hanging="360"/>
      </w:pPr>
      <w:rPr>
        <w:rFonts w:ascii="Symbol" w:hAnsi="Symbol" w:hint="default"/>
      </w:rPr>
    </w:lvl>
    <w:lvl w:ilvl="3" w:tplc="C0925C46" w:tentative="1">
      <w:start w:val="1"/>
      <w:numFmt w:val="bullet"/>
      <w:lvlText w:val=""/>
      <w:lvlJc w:val="left"/>
      <w:pPr>
        <w:tabs>
          <w:tab w:val="num" w:pos="2880"/>
        </w:tabs>
        <w:ind w:left="2880" w:hanging="360"/>
      </w:pPr>
      <w:rPr>
        <w:rFonts w:ascii="Symbol" w:hAnsi="Symbol" w:hint="default"/>
      </w:rPr>
    </w:lvl>
    <w:lvl w:ilvl="4" w:tplc="683E987A" w:tentative="1">
      <w:start w:val="1"/>
      <w:numFmt w:val="bullet"/>
      <w:lvlText w:val=""/>
      <w:lvlJc w:val="left"/>
      <w:pPr>
        <w:tabs>
          <w:tab w:val="num" w:pos="3600"/>
        </w:tabs>
        <w:ind w:left="3600" w:hanging="360"/>
      </w:pPr>
      <w:rPr>
        <w:rFonts w:ascii="Symbol" w:hAnsi="Symbol" w:hint="default"/>
      </w:rPr>
    </w:lvl>
    <w:lvl w:ilvl="5" w:tplc="1E3AEA48" w:tentative="1">
      <w:start w:val="1"/>
      <w:numFmt w:val="bullet"/>
      <w:lvlText w:val=""/>
      <w:lvlJc w:val="left"/>
      <w:pPr>
        <w:tabs>
          <w:tab w:val="num" w:pos="4320"/>
        </w:tabs>
        <w:ind w:left="4320" w:hanging="360"/>
      </w:pPr>
      <w:rPr>
        <w:rFonts w:ascii="Symbol" w:hAnsi="Symbol" w:hint="default"/>
      </w:rPr>
    </w:lvl>
    <w:lvl w:ilvl="6" w:tplc="8B0E05F6" w:tentative="1">
      <w:start w:val="1"/>
      <w:numFmt w:val="bullet"/>
      <w:lvlText w:val=""/>
      <w:lvlJc w:val="left"/>
      <w:pPr>
        <w:tabs>
          <w:tab w:val="num" w:pos="5040"/>
        </w:tabs>
        <w:ind w:left="5040" w:hanging="360"/>
      </w:pPr>
      <w:rPr>
        <w:rFonts w:ascii="Symbol" w:hAnsi="Symbol" w:hint="default"/>
      </w:rPr>
    </w:lvl>
    <w:lvl w:ilvl="7" w:tplc="E8B2A85A" w:tentative="1">
      <w:start w:val="1"/>
      <w:numFmt w:val="bullet"/>
      <w:lvlText w:val=""/>
      <w:lvlJc w:val="left"/>
      <w:pPr>
        <w:tabs>
          <w:tab w:val="num" w:pos="5760"/>
        </w:tabs>
        <w:ind w:left="5760" w:hanging="360"/>
      </w:pPr>
      <w:rPr>
        <w:rFonts w:ascii="Symbol" w:hAnsi="Symbol" w:hint="default"/>
      </w:rPr>
    </w:lvl>
    <w:lvl w:ilvl="8" w:tplc="395246A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9C86F63"/>
    <w:multiLevelType w:val="hybridMultilevel"/>
    <w:tmpl w:val="D38646DA"/>
    <w:lvl w:ilvl="0" w:tplc="9E76954C">
      <w:start w:val="1"/>
      <w:numFmt w:val="bullet"/>
      <w:lvlText w:val="•"/>
      <w:lvlJc w:val="left"/>
      <w:pPr>
        <w:tabs>
          <w:tab w:val="num" w:pos="720"/>
        </w:tabs>
        <w:ind w:left="720" w:hanging="360"/>
      </w:pPr>
      <w:rPr>
        <w:rFonts w:ascii="Arial" w:hAnsi="Arial" w:hint="default"/>
      </w:rPr>
    </w:lvl>
    <w:lvl w:ilvl="1" w:tplc="32044AD6" w:tentative="1">
      <w:start w:val="1"/>
      <w:numFmt w:val="bullet"/>
      <w:lvlText w:val="•"/>
      <w:lvlJc w:val="left"/>
      <w:pPr>
        <w:tabs>
          <w:tab w:val="num" w:pos="1440"/>
        </w:tabs>
        <w:ind w:left="1440" w:hanging="360"/>
      </w:pPr>
      <w:rPr>
        <w:rFonts w:ascii="Arial" w:hAnsi="Arial" w:hint="default"/>
      </w:rPr>
    </w:lvl>
    <w:lvl w:ilvl="2" w:tplc="756632A0" w:tentative="1">
      <w:start w:val="1"/>
      <w:numFmt w:val="bullet"/>
      <w:lvlText w:val="•"/>
      <w:lvlJc w:val="left"/>
      <w:pPr>
        <w:tabs>
          <w:tab w:val="num" w:pos="2160"/>
        </w:tabs>
        <w:ind w:left="2160" w:hanging="360"/>
      </w:pPr>
      <w:rPr>
        <w:rFonts w:ascii="Arial" w:hAnsi="Arial" w:hint="default"/>
      </w:rPr>
    </w:lvl>
    <w:lvl w:ilvl="3" w:tplc="A7141666" w:tentative="1">
      <w:start w:val="1"/>
      <w:numFmt w:val="bullet"/>
      <w:lvlText w:val="•"/>
      <w:lvlJc w:val="left"/>
      <w:pPr>
        <w:tabs>
          <w:tab w:val="num" w:pos="2880"/>
        </w:tabs>
        <w:ind w:left="2880" w:hanging="360"/>
      </w:pPr>
      <w:rPr>
        <w:rFonts w:ascii="Arial" w:hAnsi="Arial" w:hint="default"/>
      </w:rPr>
    </w:lvl>
    <w:lvl w:ilvl="4" w:tplc="89283B8C" w:tentative="1">
      <w:start w:val="1"/>
      <w:numFmt w:val="bullet"/>
      <w:lvlText w:val="•"/>
      <w:lvlJc w:val="left"/>
      <w:pPr>
        <w:tabs>
          <w:tab w:val="num" w:pos="3600"/>
        </w:tabs>
        <w:ind w:left="3600" w:hanging="360"/>
      </w:pPr>
      <w:rPr>
        <w:rFonts w:ascii="Arial" w:hAnsi="Arial" w:hint="default"/>
      </w:rPr>
    </w:lvl>
    <w:lvl w:ilvl="5" w:tplc="F65A92F8" w:tentative="1">
      <w:start w:val="1"/>
      <w:numFmt w:val="bullet"/>
      <w:lvlText w:val="•"/>
      <w:lvlJc w:val="left"/>
      <w:pPr>
        <w:tabs>
          <w:tab w:val="num" w:pos="4320"/>
        </w:tabs>
        <w:ind w:left="4320" w:hanging="360"/>
      </w:pPr>
      <w:rPr>
        <w:rFonts w:ascii="Arial" w:hAnsi="Arial" w:hint="default"/>
      </w:rPr>
    </w:lvl>
    <w:lvl w:ilvl="6" w:tplc="DD84B8F8" w:tentative="1">
      <w:start w:val="1"/>
      <w:numFmt w:val="bullet"/>
      <w:lvlText w:val="•"/>
      <w:lvlJc w:val="left"/>
      <w:pPr>
        <w:tabs>
          <w:tab w:val="num" w:pos="5040"/>
        </w:tabs>
        <w:ind w:left="5040" w:hanging="360"/>
      </w:pPr>
      <w:rPr>
        <w:rFonts w:ascii="Arial" w:hAnsi="Arial" w:hint="default"/>
      </w:rPr>
    </w:lvl>
    <w:lvl w:ilvl="7" w:tplc="8F24DE54" w:tentative="1">
      <w:start w:val="1"/>
      <w:numFmt w:val="bullet"/>
      <w:lvlText w:val="•"/>
      <w:lvlJc w:val="left"/>
      <w:pPr>
        <w:tabs>
          <w:tab w:val="num" w:pos="5760"/>
        </w:tabs>
        <w:ind w:left="5760" w:hanging="360"/>
      </w:pPr>
      <w:rPr>
        <w:rFonts w:ascii="Arial" w:hAnsi="Arial" w:hint="default"/>
      </w:rPr>
    </w:lvl>
    <w:lvl w:ilvl="8" w:tplc="CF488C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46647"/>
    <w:multiLevelType w:val="hybridMultilevel"/>
    <w:tmpl w:val="3524EEF8"/>
    <w:lvl w:ilvl="0" w:tplc="3D786F7A">
      <w:start w:val="1"/>
      <w:numFmt w:val="decimal"/>
      <w:pStyle w:val="Proposal"/>
      <w:lvlText w:val="Proposal %1"/>
      <w:lvlJc w:val="left"/>
      <w:pPr>
        <w:tabs>
          <w:tab w:val="num" w:pos="1872"/>
        </w:tabs>
        <w:ind w:left="1872"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4476B"/>
    <w:multiLevelType w:val="hybridMultilevel"/>
    <w:tmpl w:val="2AC63D62"/>
    <w:lvl w:ilvl="0" w:tplc="2EAAABFA">
      <w:start w:val="1"/>
      <w:numFmt w:val="bullet"/>
      <w:lvlText w:val="•"/>
      <w:lvlJc w:val="left"/>
      <w:pPr>
        <w:tabs>
          <w:tab w:val="num" w:pos="720"/>
        </w:tabs>
        <w:ind w:left="720" w:hanging="360"/>
      </w:pPr>
      <w:rPr>
        <w:rFonts w:ascii="Arial" w:hAnsi="Arial" w:hint="default"/>
      </w:rPr>
    </w:lvl>
    <w:lvl w:ilvl="1" w:tplc="17C427D2" w:tentative="1">
      <w:start w:val="1"/>
      <w:numFmt w:val="bullet"/>
      <w:lvlText w:val="•"/>
      <w:lvlJc w:val="left"/>
      <w:pPr>
        <w:tabs>
          <w:tab w:val="num" w:pos="1440"/>
        </w:tabs>
        <w:ind w:left="1440" w:hanging="360"/>
      </w:pPr>
      <w:rPr>
        <w:rFonts w:ascii="Arial" w:hAnsi="Arial" w:hint="default"/>
      </w:rPr>
    </w:lvl>
    <w:lvl w:ilvl="2" w:tplc="31B8E8A6" w:tentative="1">
      <w:start w:val="1"/>
      <w:numFmt w:val="bullet"/>
      <w:lvlText w:val="•"/>
      <w:lvlJc w:val="left"/>
      <w:pPr>
        <w:tabs>
          <w:tab w:val="num" w:pos="2160"/>
        </w:tabs>
        <w:ind w:left="2160" w:hanging="360"/>
      </w:pPr>
      <w:rPr>
        <w:rFonts w:ascii="Arial" w:hAnsi="Arial" w:hint="default"/>
      </w:rPr>
    </w:lvl>
    <w:lvl w:ilvl="3" w:tplc="B6929E18" w:tentative="1">
      <w:start w:val="1"/>
      <w:numFmt w:val="bullet"/>
      <w:lvlText w:val="•"/>
      <w:lvlJc w:val="left"/>
      <w:pPr>
        <w:tabs>
          <w:tab w:val="num" w:pos="2880"/>
        </w:tabs>
        <w:ind w:left="2880" w:hanging="360"/>
      </w:pPr>
      <w:rPr>
        <w:rFonts w:ascii="Arial" w:hAnsi="Arial" w:hint="default"/>
      </w:rPr>
    </w:lvl>
    <w:lvl w:ilvl="4" w:tplc="664C05FA" w:tentative="1">
      <w:start w:val="1"/>
      <w:numFmt w:val="bullet"/>
      <w:lvlText w:val="•"/>
      <w:lvlJc w:val="left"/>
      <w:pPr>
        <w:tabs>
          <w:tab w:val="num" w:pos="3600"/>
        </w:tabs>
        <w:ind w:left="3600" w:hanging="360"/>
      </w:pPr>
      <w:rPr>
        <w:rFonts w:ascii="Arial" w:hAnsi="Arial" w:hint="default"/>
      </w:rPr>
    </w:lvl>
    <w:lvl w:ilvl="5" w:tplc="889419A0" w:tentative="1">
      <w:start w:val="1"/>
      <w:numFmt w:val="bullet"/>
      <w:lvlText w:val="•"/>
      <w:lvlJc w:val="left"/>
      <w:pPr>
        <w:tabs>
          <w:tab w:val="num" w:pos="4320"/>
        </w:tabs>
        <w:ind w:left="4320" w:hanging="360"/>
      </w:pPr>
      <w:rPr>
        <w:rFonts w:ascii="Arial" w:hAnsi="Arial" w:hint="default"/>
      </w:rPr>
    </w:lvl>
    <w:lvl w:ilvl="6" w:tplc="7D4E9164" w:tentative="1">
      <w:start w:val="1"/>
      <w:numFmt w:val="bullet"/>
      <w:lvlText w:val="•"/>
      <w:lvlJc w:val="left"/>
      <w:pPr>
        <w:tabs>
          <w:tab w:val="num" w:pos="5040"/>
        </w:tabs>
        <w:ind w:left="5040" w:hanging="360"/>
      </w:pPr>
      <w:rPr>
        <w:rFonts w:ascii="Arial" w:hAnsi="Arial" w:hint="default"/>
      </w:rPr>
    </w:lvl>
    <w:lvl w:ilvl="7" w:tplc="4D807D00" w:tentative="1">
      <w:start w:val="1"/>
      <w:numFmt w:val="bullet"/>
      <w:lvlText w:val="•"/>
      <w:lvlJc w:val="left"/>
      <w:pPr>
        <w:tabs>
          <w:tab w:val="num" w:pos="5760"/>
        </w:tabs>
        <w:ind w:left="5760" w:hanging="360"/>
      </w:pPr>
      <w:rPr>
        <w:rFonts w:ascii="Arial" w:hAnsi="Arial" w:hint="default"/>
      </w:rPr>
    </w:lvl>
    <w:lvl w:ilvl="8" w:tplc="CDC6DA9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087714"/>
    <w:multiLevelType w:val="hybridMultilevel"/>
    <w:tmpl w:val="1CE8420E"/>
    <w:lvl w:ilvl="0" w:tplc="6E32E802">
      <w:start w:val="1"/>
      <w:numFmt w:val="bullet"/>
      <w:lvlText w:val=""/>
      <w:lvlJc w:val="left"/>
      <w:pPr>
        <w:tabs>
          <w:tab w:val="num" w:pos="720"/>
        </w:tabs>
        <w:ind w:left="720" w:hanging="360"/>
      </w:pPr>
      <w:rPr>
        <w:rFonts w:ascii="Symbol" w:hAnsi="Symbol" w:hint="default"/>
      </w:rPr>
    </w:lvl>
    <w:lvl w:ilvl="1" w:tplc="2F4031E2" w:tentative="1">
      <w:start w:val="1"/>
      <w:numFmt w:val="bullet"/>
      <w:lvlText w:val=""/>
      <w:lvlJc w:val="left"/>
      <w:pPr>
        <w:tabs>
          <w:tab w:val="num" w:pos="1440"/>
        </w:tabs>
        <w:ind w:left="1440" w:hanging="360"/>
      </w:pPr>
      <w:rPr>
        <w:rFonts w:ascii="Symbol" w:hAnsi="Symbol" w:hint="default"/>
      </w:rPr>
    </w:lvl>
    <w:lvl w:ilvl="2" w:tplc="17AA4FF2" w:tentative="1">
      <w:start w:val="1"/>
      <w:numFmt w:val="bullet"/>
      <w:lvlText w:val=""/>
      <w:lvlJc w:val="left"/>
      <w:pPr>
        <w:tabs>
          <w:tab w:val="num" w:pos="2160"/>
        </w:tabs>
        <w:ind w:left="2160" w:hanging="360"/>
      </w:pPr>
      <w:rPr>
        <w:rFonts w:ascii="Symbol" w:hAnsi="Symbol" w:hint="default"/>
      </w:rPr>
    </w:lvl>
    <w:lvl w:ilvl="3" w:tplc="681C815A" w:tentative="1">
      <w:start w:val="1"/>
      <w:numFmt w:val="bullet"/>
      <w:lvlText w:val=""/>
      <w:lvlJc w:val="left"/>
      <w:pPr>
        <w:tabs>
          <w:tab w:val="num" w:pos="2880"/>
        </w:tabs>
        <w:ind w:left="2880" w:hanging="360"/>
      </w:pPr>
      <w:rPr>
        <w:rFonts w:ascii="Symbol" w:hAnsi="Symbol" w:hint="default"/>
      </w:rPr>
    </w:lvl>
    <w:lvl w:ilvl="4" w:tplc="C8341958" w:tentative="1">
      <w:start w:val="1"/>
      <w:numFmt w:val="bullet"/>
      <w:lvlText w:val=""/>
      <w:lvlJc w:val="left"/>
      <w:pPr>
        <w:tabs>
          <w:tab w:val="num" w:pos="3600"/>
        </w:tabs>
        <w:ind w:left="3600" w:hanging="360"/>
      </w:pPr>
      <w:rPr>
        <w:rFonts w:ascii="Symbol" w:hAnsi="Symbol" w:hint="default"/>
      </w:rPr>
    </w:lvl>
    <w:lvl w:ilvl="5" w:tplc="A348A428" w:tentative="1">
      <w:start w:val="1"/>
      <w:numFmt w:val="bullet"/>
      <w:lvlText w:val=""/>
      <w:lvlJc w:val="left"/>
      <w:pPr>
        <w:tabs>
          <w:tab w:val="num" w:pos="4320"/>
        </w:tabs>
        <w:ind w:left="4320" w:hanging="360"/>
      </w:pPr>
      <w:rPr>
        <w:rFonts w:ascii="Symbol" w:hAnsi="Symbol" w:hint="default"/>
      </w:rPr>
    </w:lvl>
    <w:lvl w:ilvl="6" w:tplc="2F72907A" w:tentative="1">
      <w:start w:val="1"/>
      <w:numFmt w:val="bullet"/>
      <w:lvlText w:val=""/>
      <w:lvlJc w:val="left"/>
      <w:pPr>
        <w:tabs>
          <w:tab w:val="num" w:pos="5040"/>
        </w:tabs>
        <w:ind w:left="5040" w:hanging="360"/>
      </w:pPr>
      <w:rPr>
        <w:rFonts w:ascii="Symbol" w:hAnsi="Symbol" w:hint="default"/>
      </w:rPr>
    </w:lvl>
    <w:lvl w:ilvl="7" w:tplc="1C543B60" w:tentative="1">
      <w:start w:val="1"/>
      <w:numFmt w:val="bullet"/>
      <w:lvlText w:val=""/>
      <w:lvlJc w:val="left"/>
      <w:pPr>
        <w:tabs>
          <w:tab w:val="num" w:pos="5760"/>
        </w:tabs>
        <w:ind w:left="5760" w:hanging="360"/>
      </w:pPr>
      <w:rPr>
        <w:rFonts w:ascii="Symbol" w:hAnsi="Symbol" w:hint="default"/>
      </w:rPr>
    </w:lvl>
    <w:lvl w:ilvl="8" w:tplc="4A02B15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89306B"/>
    <w:multiLevelType w:val="hybridMultilevel"/>
    <w:tmpl w:val="5DB679BE"/>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505FB1"/>
    <w:multiLevelType w:val="hybridMultilevel"/>
    <w:tmpl w:val="C150C9A2"/>
    <w:lvl w:ilvl="0" w:tplc="FBE41D70">
      <w:start w:val="1"/>
      <w:numFmt w:val="bullet"/>
      <w:lvlText w:val=""/>
      <w:lvlJc w:val="left"/>
      <w:pPr>
        <w:tabs>
          <w:tab w:val="num" w:pos="720"/>
        </w:tabs>
        <w:ind w:left="720" w:hanging="360"/>
      </w:pPr>
      <w:rPr>
        <w:rFonts w:ascii="Symbol" w:hAnsi="Symbol" w:hint="default"/>
      </w:rPr>
    </w:lvl>
    <w:lvl w:ilvl="1" w:tplc="ABD0E830" w:tentative="1">
      <w:start w:val="1"/>
      <w:numFmt w:val="bullet"/>
      <w:lvlText w:val=""/>
      <w:lvlJc w:val="left"/>
      <w:pPr>
        <w:tabs>
          <w:tab w:val="num" w:pos="1440"/>
        </w:tabs>
        <w:ind w:left="1440" w:hanging="360"/>
      </w:pPr>
      <w:rPr>
        <w:rFonts w:ascii="Symbol" w:hAnsi="Symbol" w:hint="default"/>
      </w:rPr>
    </w:lvl>
    <w:lvl w:ilvl="2" w:tplc="3374741E" w:tentative="1">
      <w:start w:val="1"/>
      <w:numFmt w:val="bullet"/>
      <w:lvlText w:val=""/>
      <w:lvlJc w:val="left"/>
      <w:pPr>
        <w:tabs>
          <w:tab w:val="num" w:pos="2160"/>
        </w:tabs>
        <w:ind w:left="2160" w:hanging="360"/>
      </w:pPr>
      <w:rPr>
        <w:rFonts w:ascii="Symbol" w:hAnsi="Symbol" w:hint="default"/>
      </w:rPr>
    </w:lvl>
    <w:lvl w:ilvl="3" w:tplc="2778A08C" w:tentative="1">
      <w:start w:val="1"/>
      <w:numFmt w:val="bullet"/>
      <w:lvlText w:val=""/>
      <w:lvlJc w:val="left"/>
      <w:pPr>
        <w:tabs>
          <w:tab w:val="num" w:pos="2880"/>
        </w:tabs>
        <w:ind w:left="2880" w:hanging="360"/>
      </w:pPr>
      <w:rPr>
        <w:rFonts w:ascii="Symbol" w:hAnsi="Symbol" w:hint="default"/>
      </w:rPr>
    </w:lvl>
    <w:lvl w:ilvl="4" w:tplc="A29E3114" w:tentative="1">
      <w:start w:val="1"/>
      <w:numFmt w:val="bullet"/>
      <w:lvlText w:val=""/>
      <w:lvlJc w:val="left"/>
      <w:pPr>
        <w:tabs>
          <w:tab w:val="num" w:pos="3600"/>
        </w:tabs>
        <w:ind w:left="3600" w:hanging="360"/>
      </w:pPr>
      <w:rPr>
        <w:rFonts w:ascii="Symbol" w:hAnsi="Symbol" w:hint="default"/>
      </w:rPr>
    </w:lvl>
    <w:lvl w:ilvl="5" w:tplc="2B642326" w:tentative="1">
      <w:start w:val="1"/>
      <w:numFmt w:val="bullet"/>
      <w:lvlText w:val=""/>
      <w:lvlJc w:val="left"/>
      <w:pPr>
        <w:tabs>
          <w:tab w:val="num" w:pos="4320"/>
        </w:tabs>
        <w:ind w:left="4320" w:hanging="360"/>
      </w:pPr>
      <w:rPr>
        <w:rFonts w:ascii="Symbol" w:hAnsi="Symbol" w:hint="default"/>
      </w:rPr>
    </w:lvl>
    <w:lvl w:ilvl="6" w:tplc="E7A2E010" w:tentative="1">
      <w:start w:val="1"/>
      <w:numFmt w:val="bullet"/>
      <w:lvlText w:val=""/>
      <w:lvlJc w:val="left"/>
      <w:pPr>
        <w:tabs>
          <w:tab w:val="num" w:pos="5040"/>
        </w:tabs>
        <w:ind w:left="5040" w:hanging="360"/>
      </w:pPr>
      <w:rPr>
        <w:rFonts w:ascii="Symbol" w:hAnsi="Symbol" w:hint="default"/>
      </w:rPr>
    </w:lvl>
    <w:lvl w:ilvl="7" w:tplc="81D0A9FC" w:tentative="1">
      <w:start w:val="1"/>
      <w:numFmt w:val="bullet"/>
      <w:lvlText w:val=""/>
      <w:lvlJc w:val="left"/>
      <w:pPr>
        <w:tabs>
          <w:tab w:val="num" w:pos="5760"/>
        </w:tabs>
        <w:ind w:left="5760" w:hanging="360"/>
      </w:pPr>
      <w:rPr>
        <w:rFonts w:ascii="Symbol" w:hAnsi="Symbol" w:hint="default"/>
      </w:rPr>
    </w:lvl>
    <w:lvl w:ilvl="8" w:tplc="B432606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F22F46"/>
    <w:multiLevelType w:val="hybridMultilevel"/>
    <w:tmpl w:val="AD6A712A"/>
    <w:lvl w:ilvl="0" w:tplc="C8388E10">
      <w:start w:val="1"/>
      <w:numFmt w:val="bullet"/>
      <w:lvlText w:val="-"/>
      <w:lvlJc w:val="left"/>
      <w:pPr>
        <w:tabs>
          <w:tab w:val="num" w:pos="720"/>
        </w:tabs>
        <w:ind w:left="720" w:hanging="360"/>
      </w:pPr>
      <w:rPr>
        <w:rFonts w:ascii="Times" w:hAnsi="Times" w:hint="default"/>
      </w:rPr>
    </w:lvl>
    <w:lvl w:ilvl="1" w:tplc="70783202" w:tentative="1">
      <w:start w:val="1"/>
      <w:numFmt w:val="bullet"/>
      <w:lvlText w:val="-"/>
      <w:lvlJc w:val="left"/>
      <w:pPr>
        <w:tabs>
          <w:tab w:val="num" w:pos="1440"/>
        </w:tabs>
        <w:ind w:left="1440" w:hanging="360"/>
      </w:pPr>
      <w:rPr>
        <w:rFonts w:ascii="Times" w:hAnsi="Times" w:hint="default"/>
      </w:rPr>
    </w:lvl>
    <w:lvl w:ilvl="2" w:tplc="0406D6D0" w:tentative="1">
      <w:start w:val="1"/>
      <w:numFmt w:val="bullet"/>
      <w:lvlText w:val="-"/>
      <w:lvlJc w:val="left"/>
      <w:pPr>
        <w:tabs>
          <w:tab w:val="num" w:pos="2160"/>
        </w:tabs>
        <w:ind w:left="2160" w:hanging="360"/>
      </w:pPr>
      <w:rPr>
        <w:rFonts w:ascii="Times" w:hAnsi="Times" w:hint="default"/>
      </w:rPr>
    </w:lvl>
    <w:lvl w:ilvl="3" w:tplc="84BA6DAE" w:tentative="1">
      <w:start w:val="1"/>
      <w:numFmt w:val="bullet"/>
      <w:lvlText w:val="-"/>
      <w:lvlJc w:val="left"/>
      <w:pPr>
        <w:tabs>
          <w:tab w:val="num" w:pos="2880"/>
        </w:tabs>
        <w:ind w:left="2880" w:hanging="360"/>
      </w:pPr>
      <w:rPr>
        <w:rFonts w:ascii="Times" w:hAnsi="Times" w:hint="default"/>
      </w:rPr>
    </w:lvl>
    <w:lvl w:ilvl="4" w:tplc="23BE738A" w:tentative="1">
      <w:start w:val="1"/>
      <w:numFmt w:val="bullet"/>
      <w:lvlText w:val="-"/>
      <w:lvlJc w:val="left"/>
      <w:pPr>
        <w:tabs>
          <w:tab w:val="num" w:pos="3600"/>
        </w:tabs>
        <w:ind w:left="3600" w:hanging="360"/>
      </w:pPr>
      <w:rPr>
        <w:rFonts w:ascii="Times" w:hAnsi="Times" w:hint="default"/>
      </w:rPr>
    </w:lvl>
    <w:lvl w:ilvl="5" w:tplc="093C8956" w:tentative="1">
      <w:start w:val="1"/>
      <w:numFmt w:val="bullet"/>
      <w:lvlText w:val="-"/>
      <w:lvlJc w:val="left"/>
      <w:pPr>
        <w:tabs>
          <w:tab w:val="num" w:pos="4320"/>
        </w:tabs>
        <w:ind w:left="4320" w:hanging="360"/>
      </w:pPr>
      <w:rPr>
        <w:rFonts w:ascii="Times" w:hAnsi="Times" w:hint="default"/>
      </w:rPr>
    </w:lvl>
    <w:lvl w:ilvl="6" w:tplc="26A4BD72" w:tentative="1">
      <w:start w:val="1"/>
      <w:numFmt w:val="bullet"/>
      <w:lvlText w:val="-"/>
      <w:lvlJc w:val="left"/>
      <w:pPr>
        <w:tabs>
          <w:tab w:val="num" w:pos="5040"/>
        </w:tabs>
        <w:ind w:left="5040" w:hanging="360"/>
      </w:pPr>
      <w:rPr>
        <w:rFonts w:ascii="Times" w:hAnsi="Times" w:hint="default"/>
      </w:rPr>
    </w:lvl>
    <w:lvl w:ilvl="7" w:tplc="4358139E" w:tentative="1">
      <w:start w:val="1"/>
      <w:numFmt w:val="bullet"/>
      <w:lvlText w:val="-"/>
      <w:lvlJc w:val="left"/>
      <w:pPr>
        <w:tabs>
          <w:tab w:val="num" w:pos="5760"/>
        </w:tabs>
        <w:ind w:left="5760" w:hanging="360"/>
      </w:pPr>
      <w:rPr>
        <w:rFonts w:ascii="Times" w:hAnsi="Times" w:hint="default"/>
      </w:rPr>
    </w:lvl>
    <w:lvl w:ilvl="8" w:tplc="03E6D77C"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666444F0"/>
    <w:multiLevelType w:val="hybridMultilevel"/>
    <w:tmpl w:val="ECA2C972"/>
    <w:lvl w:ilvl="0" w:tplc="AB94BECC">
      <w:start w:val="1"/>
      <w:numFmt w:val="bullet"/>
      <w:lvlText w:val=""/>
      <w:lvlJc w:val="left"/>
      <w:pPr>
        <w:tabs>
          <w:tab w:val="num" w:pos="720"/>
        </w:tabs>
        <w:ind w:left="720" w:hanging="360"/>
      </w:pPr>
      <w:rPr>
        <w:rFonts w:ascii="Symbol" w:hAnsi="Symbol" w:hint="default"/>
      </w:rPr>
    </w:lvl>
    <w:lvl w:ilvl="1" w:tplc="1FC88838" w:tentative="1">
      <w:start w:val="1"/>
      <w:numFmt w:val="bullet"/>
      <w:lvlText w:val=""/>
      <w:lvlJc w:val="left"/>
      <w:pPr>
        <w:tabs>
          <w:tab w:val="num" w:pos="1440"/>
        </w:tabs>
        <w:ind w:left="1440" w:hanging="360"/>
      </w:pPr>
      <w:rPr>
        <w:rFonts w:ascii="Symbol" w:hAnsi="Symbol" w:hint="default"/>
      </w:rPr>
    </w:lvl>
    <w:lvl w:ilvl="2" w:tplc="3B4060AC" w:tentative="1">
      <w:start w:val="1"/>
      <w:numFmt w:val="bullet"/>
      <w:lvlText w:val=""/>
      <w:lvlJc w:val="left"/>
      <w:pPr>
        <w:tabs>
          <w:tab w:val="num" w:pos="2160"/>
        </w:tabs>
        <w:ind w:left="2160" w:hanging="360"/>
      </w:pPr>
      <w:rPr>
        <w:rFonts w:ascii="Symbol" w:hAnsi="Symbol" w:hint="default"/>
      </w:rPr>
    </w:lvl>
    <w:lvl w:ilvl="3" w:tplc="09600A52" w:tentative="1">
      <w:start w:val="1"/>
      <w:numFmt w:val="bullet"/>
      <w:lvlText w:val=""/>
      <w:lvlJc w:val="left"/>
      <w:pPr>
        <w:tabs>
          <w:tab w:val="num" w:pos="2880"/>
        </w:tabs>
        <w:ind w:left="2880" w:hanging="360"/>
      </w:pPr>
      <w:rPr>
        <w:rFonts w:ascii="Symbol" w:hAnsi="Symbol" w:hint="default"/>
      </w:rPr>
    </w:lvl>
    <w:lvl w:ilvl="4" w:tplc="5A3623E2" w:tentative="1">
      <w:start w:val="1"/>
      <w:numFmt w:val="bullet"/>
      <w:lvlText w:val=""/>
      <w:lvlJc w:val="left"/>
      <w:pPr>
        <w:tabs>
          <w:tab w:val="num" w:pos="3600"/>
        </w:tabs>
        <w:ind w:left="3600" w:hanging="360"/>
      </w:pPr>
      <w:rPr>
        <w:rFonts w:ascii="Symbol" w:hAnsi="Symbol" w:hint="default"/>
      </w:rPr>
    </w:lvl>
    <w:lvl w:ilvl="5" w:tplc="1F84776E" w:tentative="1">
      <w:start w:val="1"/>
      <w:numFmt w:val="bullet"/>
      <w:lvlText w:val=""/>
      <w:lvlJc w:val="left"/>
      <w:pPr>
        <w:tabs>
          <w:tab w:val="num" w:pos="4320"/>
        </w:tabs>
        <w:ind w:left="4320" w:hanging="360"/>
      </w:pPr>
      <w:rPr>
        <w:rFonts w:ascii="Symbol" w:hAnsi="Symbol" w:hint="default"/>
      </w:rPr>
    </w:lvl>
    <w:lvl w:ilvl="6" w:tplc="48FA2114" w:tentative="1">
      <w:start w:val="1"/>
      <w:numFmt w:val="bullet"/>
      <w:lvlText w:val=""/>
      <w:lvlJc w:val="left"/>
      <w:pPr>
        <w:tabs>
          <w:tab w:val="num" w:pos="5040"/>
        </w:tabs>
        <w:ind w:left="5040" w:hanging="360"/>
      </w:pPr>
      <w:rPr>
        <w:rFonts w:ascii="Symbol" w:hAnsi="Symbol" w:hint="default"/>
      </w:rPr>
    </w:lvl>
    <w:lvl w:ilvl="7" w:tplc="840C3B5A" w:tentative="1">
      <w:start w:val="1"/>
      <w:numFmt w:val="bullet"/>
      <w:lvlText w:val=""/>
      <w:lvlJc w:val="left"/>
      <w:pPr>
        <w:tabs>
          <w:tab w:val="num" w:pos="5760"/>
        </w:tabs>
        <w:ind w:left="5760" w:hanging="360"/>
      </w:pPr>
      <w:rPr>
        <w:rFonts w:ascii="Symbol" w:hAnsi="Symbol" w:hint="default"/>
      </w:rPr>
    </w:lvl>
    <w:lvl w:ilvl="8" w:tplc="70F853B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95771F1"/>
    <w:multiLevelType w:val="hybridMultilevel"/>
    <w:tmpl w:val="F7EA6048"/>
    <w:lvl w:ilvl="0" w:tplc="24E26230">
      <w:start w:val="3"/>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7F3221"/>
    <w:multiLevelType w:val="hybridMultilevel"/>
    <w:tmpl w:val="D0EEE2F6"/>
    <w:lvl w:ilvl="0" w:tplc="7BC47C14">
      <w:start w:val="1"/>
      <w:numFmt w:val="bullet"/>
      <w:lvlText w:val="-"/>
      <w:lvlJc w:val="left"/>
      <w:pPr>
        <w:tabs>
          <w:tab w:val="num" w:pos="720"/>
        </w:tabs>
        <w:ind w:left="720" w:hanging="360"/>
      </w:pPr>
      <w:rPr>
        <w:rFonts w:ascii="Times" w:hAnsi="Times" w:hint="default"/>
      </w:rPr>
    </w:lvl>
    <w:lvl w:ilvl="1" w:tplc="9C26DC04" w:tentative="1">
      <w:start w:val="1"/>
      <w:numFmt w:val="bullet"/>
      <w:lvlText w:val="-"/>
      <w:lvlJc w:val="left"/>
      <w:pPr>
        <w:tabs>
          <w:tab w:val="num" w:pos="1440"/>
        </w:tabs>
        <w:ind w:left="1440" w:hanging="360"/>
      </w:pPr>
      <w:rPr>
        <w:rFonts w:ascii="Times" w:hAnsi="Times" w:hint="default"/>
      </w:rPr>
    </w:lvl>
    <w:lvl w:ilvl="2" w:tplc="45A6531A" w:tentative="1">
      <w:start w:val="1"/>
      <w:numFmt w:val="bullet"/>
      <w:lvlText w:val="-"/>
      <w:lvlJc w:val="left"/>
      <w:pPr>
        <w:tabs>
          <w:tab w:val="num" w:pos="2160"/>
        </w:tabs>
        <w:ind w:left="2160" w:hanging="360"/>
      </w:pPr>
      <w:rPr>
        <w:rFonts w:ascii="Times" w:hAnsi="Times" w:hint="default"/>
      </w:rPr>
    </w:lvl>
    <w:lvl w:ilvl="3" w:tplc="6DAE143C" w:tentative="1">
      <w:start w:val="1"/>
      <w:numFmt w:val="bullet"/>
      <w:lvlText w:val="-"/>
      <w:lvlJc w:val="left"/>
      <w:pPr>
        <w:tabs>
          <w:tab w:val="num" w:pos="2880"/>
        </w:tabs>
        <w:ind w:left="2880" w:hanging="360"/>
      </w:pPr>
      <w:rPr>
        <w:rFonts w:ascii="Times" w:hAnsi="Times" w:hint="default"/>
      </w:rPr>
    </w:lvl>
    <w:lvl w:ilvl="4" w:tplc="962C9E4C" w:tentative="1">
      <w:start w:val="1"/>
      <w:numFmt w:val="bullet"/>
      <w:lvlText w:val="-"/>
      <w:lvlJc w:val="left"/>
      <w:pPr>
        <w:tabs>
          <w:tab w:val="num" w:pos="3600"/>
        </w:tabs>
        <w:ind w:left="3600" w:hanging="360"/>
      </w:pPr>
      <w:rPr>
        <w:rFonts w:ascii="Times" w:hAnsi="Times" w:hint="default"/>
      </w:rPr>
    </w:lvl>
    <w:lvl w:ilvl="5" w:tplc="6B9EEBAA" w:tentative="1">
      <w:start w:val="1"/>
      <w:numFmt w:val="bullet"/>
      <w:lvlText w:val="-"/>
      <w:lvlJc w:val="left"/>
      <w:pPr>
        <w:tabs>
          <w:tab w:val="num" w:pos="4320"/>
        </w:tabs>
        <w:ind w:left="4320" w:hanging="360"/>
      </w:pPr>
      <w:rPr>
        <w:rFonts w:ascii="Times" w:hAnsi="Times" w:hint="default"/>
      </w:rPr>
    </w:lvl>
    <w:lvl w:ilvl="6" w:tplc="9DE4AD20" w:tentative="1">
      <w:start w:val="1"/>
      <w:numFmt w:val="bullet"/>
      <w:lvlText w:val="-"/>
      <w:lvlJc w:val="left"/>
      <w:pPr>
        <w:tabs>
          <w:tab w:val="num" w:pos="5040"/>
        </w:tabs>
        <w:ind w:left="5040" w:hanging="360"/>
      </w:pPr>
      <w:rPr>
        <w:rFonts w:ascii="Times" w:hAnsi="Times" w:hint="default"/>
      </w:rPr>
    </w:lvl>
    <w:lvl w:ilvl="7" w:tplc="23EA0BFA" w:tentative="1">
      <w:start w:val="1"/>
      <w:numFmt w:val="bullet"/>
      <w:lvlText w:val="-"/>
      <w:lvlJc w:val="left"/>
      <w:pPr>
        <w:tabs>
          <w:tab w:val="num" w:pos="5760"/>
        </w:tabs>
        <w:ind w:left="5760" w:hanging="360"/>
      </w:pPr>
      <w:rPr>
        <w:rFonts w:ascii="Times" w:hAnsi="Times" w:hint="default"/>
      </w:rPr>
    </w:lvl>
    <w:lvl w:ilvl="8" w:tplc="C310F55E"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726148C4"/>
    <w:multiLevelType w:val="hybridMultilevel"/>
    <w:tmpl w:val="7C401960"/>
    <w:lvl w:ilvl="0" w:tplc="24E26230">
      <w:start w:val="3"/>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8E5409"/>
    <w:multiLevelType w:val="hybridMultilevel"/>
    <w:tmpl w:val="5F44098C"/>
    <w:lvl w:ilvl="0" w:tplc="B3B8269A">
      <w:start w:val="1"/>
      <w:numFmt w:val="bullet"/>
      <w:lvlText w:val=""/>
      <w:lvlJc w:val="left"/>
      <w:pPr>
        <w:tabs>
          <w:tab w:val="num" w:pos="720"/>
        </w:tabs>
        <w:ind w:left="720" w:hanging="360"/>
      </w:pPr>
      <w:rPr>
        <w:rFonts w:ascii="Symbol" w:hAnsi="Symbol" w:hint="default"/>
      </w:rPr>
    </w:lvl>
    <w:lvl w:ilvl="1" w:tplc="384E667E" w:tentative="1">
      <w:start w:val="1"/>
      <w:numFmt w:val="bullet"/>
      <w:lvlText w:val=""/>
      <w:lvlJc w:val="left"/>
      <w:pPr>
        <w:tabs>
          <w:tab w:val="num" w:pos="1440"/>
        </w:tabs>
        <w:ind w:left="1440" w:hanging="360"/>
      </w:pPr>
      <w:rPr>
        <w:rFonts w:ascii="Symbol" w:hAnsi="Symbol" w:hint="default"/>
      </w:rPr>
    </w:lvl>
    <w:lvl w:ilvl="2" w:tplc="5226DD28" w:tentative="1">
      <w:start w:val="1"/>
      <w:numFmt w:val="bullet"/>
      <w:lvlText w:val=""/>
      <w:lvlJc w:val="left"/>
      <w:pPr>
        <w:tabs>
          <w:tab w:val="num" w:pos="2160"/>
        </w:tabs>
        <w:ind w:left="2160" w:hanging="360"/>
      </w:pPr>
      <w:rPr>
        <w:rFonts w:ascii="Symbol" w:hAnsi="Symbol" w:hint="default"/>
      </w:rPr>
    </w:lvl>
    <w:lvl w:ilvl="3" w:tplc="FE14ED8A" w:tentative="1">
      <w:start w:val="1"/>
      <w:numFmt w:val="bullet"/>
      <w:lvlText w:val=""/>
      <w:lvlJc w:val="left"/>
      <w:pPr>
        <w:tabs>
          <w:tab w:val="num" w:pos="2880"/>
        </w:tabs>
        <w:ind w:left="2880" w:hanging="360"/>
      </w:pPr>
      <w:rPr>
        <w:rFonts w:ascii="Symbol" w:hAnsi="Symbol" w:hint="default"/>
      </w:rPr>
    </w:lvl>
    <w:lvl w:ilvl="4" w:tplc="468E269E" w:tentative="1">
      <w:start w:val="1"/>
      <w:numFmt w:val="bullet"/>
      <w:lvlText w:val=""/>
      <w:lvlJc w:val="left"/>
      <w:pPr>
        <w:tabs>
          <w:tab w:val="num" w:pos="3600"/>
        </w:tabs>
        <w:ind w:left="3600" w:hanging="360"/>
      </w:pPr>
      <w:rPr>
        <w:rFonts w:ascii="Symbol" w:hAnsi="Symbol" w:hint="default"/>
      </w:rPr>
    </w:lvl>
    <w:lvl w:ilvl="5" w:tplc="F0825560" w:tentative="1">
      <w:start w:val="1"/>
      <w:numFmt w:val="bullet"/>
      <w:lvlText w:val=""/>
      <w:lvlJc w:val="left"/>
      <w:pPr>
        <w:tabs>
          <w:tab w:val="num" w:pos="4320"/>
        </w:tabs>
        <w:ind w:left="4320" w:hanging="360"/>
      </w:pPr>
      <w:rPr>
        <w:rFonts w:ascii="Symbol" w:hAnsi="Symbol" w:hint="default"/>
      </w:rPr>
    </w:lvl>
    <w:lvl w:ilvl="6" w:tplc="C4C675A0" w:tentative="1">
      <w:start w:val="1"/>
      <w:numFmt w:val="bullet"/>
      <w:lvlText w:val=""/>
      <w:lvlJc w:val="left"/>
      <w:pPr>
        <w:tabs>
          <w:tab w:val="num" w:pos="5040"/>
        </w:tabs>
        <w:ind w:left="5040" w:hanging="360"/>
      </w:pPr>
      <w:rPr>
        <w:rFonts w:ascii="Symbol" w:hAnsi="Symbol" w:hint="default"/>
      </w:rPr>
    </w:lvl>
    <w:lvl w:ilvl="7" w:tplc="DA20BCF8" w:tentative="1">
      <w:start w:val="1"/>
      <w:numFmt w:val="bullet"/>
      <w:lvlText w:val=""/>
      <w:lvlJc w:val="left"/>
      <w:pPr>
        <w:tabs>
          <w:tab w:val="num" w:pos="5760"/>
        </w:tabs>
        <w:ind w:left="5760" w:hanging="360"/>
      </w:pPr>
      <w:rPr>
        <w:rFonts w:ascii="Symbol" w:hAnsi="Symbol" w:hint="default"/>
      </w:rPr>
    </w:lvl>
    <w:lvl w:ilvl="8" w:tplc="1AAA5712" w:tentative="1">
      <w:start w:val="1"/>
      <w:numFmt w:val="bullet"/>
      <w:lvlText w:val=""/>
      <w:lvlJc w:val="left"/>
      <w:pPr>
        <w:tabs>
          <w:tab w:val="num" w:pos="6480"/>
        </w:tabs>
        <w:ind w:left="6480" w:hanging="360"/>
      </w:pPr>
      <w:rPr>
        <w:rFonts w:ascii="Symbol" w:hAnsi="Symbol" w:hint="default"/>
      </w:rPr>
    </w:lvl>
  </w:abstractNum>
  <w:num w:numId="1">
    <w:abstractNumId w:val="23"/>
  </w:num>
  <w:num w:numId="2">
    <w:abstractNumId w:val="19"/>
  </w:num>
  <w:num w:numId="3">
    <w:abstractNumId w:val="0"/>
  </w:num>
  <w:num w:numId="4">
    <w:abstractNumId w:val="25"/>
  </w:num>
  <w:num w:numId="5">
    <w:abstractNumId w:val="26"/>
  </w:num>
  <w:num w:numId="6">
    <w:abstractNumId w:val="28"/>
  </w:num>
  <w:num w:numId="7">
    <w:abstractNumId w:val="10"/>
  </w:num>
  <w:num w:numId="8">
    <w:abstractNumId w:val="12"/>
  </w:num>
  <w:num w:numId="9">
    <w:abstractNumId w:val="3"/>
  </w:num>
  <w:num w:numId="10">
    <w:abstractNumId w:val="35"/>
  </w:num>
  <w:num w:numId="11">
    <w:abstractNumId w:val="15"/>
  </w:num>
  <w:num w:numId="12">
    <w:abstractNumId w:val="32"/>
  </w:num>
  <w:num w:numId="13">
    <w:abstractNumId w:val="2"/>
  </w:num>
  <w:num w:numId="14">
    <w:abstractNumId w:val="31"/>
  </w:num>
  <w:num w:numId="15">
    <w:abstractNumId w:val="1"/>
  </w:num>
  <w:num w:numId="16">
    <w:abstractNumId w:val="22"/>
  </w:num>
  <w:num w:numId="17">
    <w:abstractNumId w:val="5"/>
  </w:num>
  <w:num w:numId="18">
    <w:abstractNumId w:val="16"/>
  </w:num>
  <w:num w:numId="19">
    <w:abstractNumId w:val="11"/>
  </w:num>
  <w:num w:numId="20">
    <w:abstractNumId w:val="6"/>
  </w:num>
  <w:num w:numId="21">
    <w:abstractNumId w:val="20"/>
  </w:num>
  <w:num w:numId="22">
    <w:abstractNumId w:val="4"/>
  </w:num>
  <w:num w:numId="23">
    <w:abstractNumId w:val="17"/>
  </w:num>
  <w:num w:numId="24">
    <w:abstractNumId w:val="29"/>
  </w:num>
  <w:num w:numId="25">
    <w:abstractNumId w:val="18"/>
  </w:num>
  <w:num w:numId="26">
    <w:abstractNumId w:val="33"/>
  </w:num>
  <w:num w:numId="27">
    <w:abstractNumId w:val="34"/>
  </w:num>
  <w:num w:numId="28">
    <w:abstractNumId w:val="36"/>
  </w:num>
  <w:num w:numId="29">
    <w:abstractNumId w:val="27"/>
  </w:num>
  <w:num w:numId="30">
    <w:abstractNumId w:val="30"/>
  </w:num>
  <w:num w:numId="31">
    <w:abstractNumId w:val="7"/>
  </w:num>
  <w:num w:numId="32">
    <w:abstractNumId w:val="14"/>
  </w:num>
  <w:num w:numId="33">
    <w:abstractNumId w:val="21"/>
  </w:num>
  <w:num w:numId="34">
    <w:abstractNumId w:val="9"/>
  </w:num>
  <w:num w:numId="35">
    <w:abstractNumId w:val="24"/>
  </w:num>
  <w:num w:numId="36">
    <w:abstractNumId w:val="8"/>
  </w:num>
  <w:num w:numId="37">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EA2"/>
    <w:rsid w:val="00000421"/>
    <w:rsid w:val="000006E1"/>
    <w:rsid w:val="00001D8A"/>
    <w:rsid w:val="00002A37"/>
    <w:rsid w:val="0000564C"/>
    <w:rsid w:val="000062F3"/>
    <w:rsid w:val="00006446"/>
    <w:rsid w:val="00006896"/>
    <w:rsid w:val="0000709B"/>
    <w:rsid w:val="000070ED"/>
    <w:rsid w:val="00007485"/>
    <w:rsid w:val="00007CDC"/>
    <w:rsid w:val="00010B29"/>
    <w:rsid w:val="00011A3D"/>
    <w:rsid w:val="00011B28"/>
    <w:rsid w:val="00013002"/>
    <w:rsid w:val="00013077"/>
    <w:rsid w:val="00013EFA"/>
    <w:rsid w:val="00015D15"/>
    <w:rsid w:val="00015E91"/>
    <w:rsid w:val="00017283"/>
    <w:rsid w:val="0001734A"/>
    <w:rsid w:val="00017AE5"/>
    <w:rsid w:val="0002002C"/>
    <w:rsid w:val="00020691"/>
    <w:rsid w:val="000218EA"/>
    <w:rsid w:val="00021A04"/>
    <w:rsid w:val="0002290C"/>
    <w:rsid w:val="00023E71"/>
    <w:rsid w:val="00024505"/>
    <w:rsid w:val="00024D2F"/>
    <w:rsid w:val="0002564D"/>
    <w:rsid w:val="0002599A"/>
    <w:rsid w:val="00025ECA"/>
    <w:rsid w:val="00026D3E"/>
    <w:rsid w:val="00027141"/>
    <w:rsid w:val="00030DAA"/>
    <w:rsid w:val="00030E08"/>
    <w:rsid w:val="00031D51"/>
    <w:rsid w:val="00031FA1"/>
    <w:rsid w:val="000325B8"/>
    <w:rsid w:val="00032FD7"/>
    <w:rsid w:val="00033887"/>
    <w:rsid w:val="00034C15"/>
    <w:rsid w:val="00034FBE"/>
    <w:rsid w:val="00035179"/>
    <w:rsid w:val="000359DC"/>
    <w:rsid w:val="00036BA1"/>
    <w:rsid w:val="000379FA"/>
    <w:rsid w:val="000413B7"/>
    <w:rsid w:val="000422E2"/>
    <w:rsid w:val="0004253D"/>
    <w:rsid w:val="00042F22"/>
    <w:rsid w:val="000431A1"/>
    <w:rsid w:val="00043699"/>
    <w:rsid w:val="000444EF"/>
    <w:rsid w:val="00045245"/>
    <w:rsid w:val="000458DC"/>
    <w:rsid w:val="00045B12"/>
    <w:rsid w:val="00045FAD"/>
    <w:rsid w:val="0004727E"/>
    <w:rsid w:val="0004768C"/>
    <w:rsid w:val="00047BF3"/>
    <w:rsid w:val="00050443"/>
    <w:rsid w:val="000512A7"/>
    <w:rsid w:val="000524CE"/>
    <w:rsid w:val="00052A07"/>
    <w:rsid w:val="00052BA7"/>
    <w:rsid w:val="000534E3"/>
    <w:rsid w:val="00054035"/>
    <w:rsid w:val="00054B1E"/>
    <w:rsid w:val="00055DB1"/>
    <w:rsid w:val="0005606A"/>
    <w:rsid w:val="00057117"/>
    <w:rsid w:val="000575AC"/>
    <w:rsid w:val="0006071C"/>
    <w:rsid w:val="000616E7"/>
    <w:rsid w:val="0006196A"/>
    <w:rsid w:val="00062204"/>
    <w:rsid w:val="000622F9"/>
    <w:rsid w:val="00062427"/>
    <w:rsid w:val="0006487E"/>
    <w:rsid w:val="00064CA8"/>
    <w:rsid w:val="00065E1A"/>
    <w:rsid w:val="000719E8"/>
    <w:rsid w:val="000721AC"/>
    <w:rsid w:val="00073456"/>
    <w:rsid w:val="00074ADF"/>
    <w:rsid w:val="0007534A"/>
    <w:rsid w:val="00075691"/>
    <w:rsid w:val="00075818"/>
    <w:rsid w:val="00076330"/>
    <w:rsid w:val="00076B3F"/>
    <w:rsid w:val="0007722B"/>
    <w:rsid w:val="000772E4"/>
    <w:rsid w:val="0007740D"/>
    <w:rsid w:val="00077600"/>
    <w:rsid w:val="00077E5F"/>
    <w:rsid w:val="00080344"/>
    <w:rsid w:val="0008036A"/>
    <w:rsid w:val="00080B97"/>
    <w:rsid w:val="0008108F"/>
    <w:rsid w:val="00081AE6"/>
    <w:rsid w:val="00082810"/>
    <w:rsid w:val="000849F0"/>
    <w:rsid w:val="000855EB"/>
    <w:rsid w:val="00085B52"/>
    <w:rsid w:val="00085E14"/>
    <w:rsid w:val="0008614B"/>
    <w:rsid w:val="00086263"/>
    <w:rsid w:val="000866F2"/>
    <w:rsid w:val="00086907"/>
    <w:rsid w:val="00086F91"/>
    <w:rsid w:val="00087AB3"/>
    <w:rsid w:val="0009009F"/>
    <w:rsid w:val="00091557"/>
    <w:rsid w:val="00091A34"/>
    <w:rsid w:val="000924C1"/>
    <w:rsid w:val="000924F0"/>
    <w:rsid w:val="00092956"/>
    <w:rsid w:val="00093474"/>
    <w:rsid w:val="0009445C"/>
    <w:rsid w:val="0009510F"/>
    <w:rsid w:val="000972F8"/>
    <w:rsid w:val="000A0185"/>
    <w:rsid w:val="000A0D01"/>
    <w:rsid w:val="000A1B7B"/>
    <w:rsid w:val="000A25F9"/>
    <w:rsid w:val="000A2D9B"/>
    <w:rsid w:val="000A311E"/>
    <w:rsid w:val="000A329F"/>
    <w:rsid w:val="000A331E"/>
    <w:rsid w:val="000A5671"/>
    <w:rsid w:val="000A56F2"/>
    <w:rsid w:val="000A6630"/>
    <w:rsid w:val="000A7221"/>
    <w:rsid w:val="000A730F"/>
    <w:rsid w:val="000A76EB"/>
    <w:rsid w:val="000A7D51"/>
    <w:rsid w:val="000B0779"/>
    <w:rsid w:val="000B07E4"/>
    <w:rsid w:val="000B08B1"/>
    <w:rsid w:val="000B14B0"/>
    <w:rsid w:val="000B2719"/>
    <w:rsid w:val="000B3A8F"/>
    <w:rsid w:val="000B3FA4"/>
    <w:rsid w:val="000B4AB9"/>
    <w:rsid w:val="000B50F5"/>
    <w:rsid w:val="000B5140"/>
    <w:rsid w:val="000B58C3"/>
    <w:rsid w:val="000B5E58"/>
    <w:rsid w:val="000B6148"/>
    <w:rsid w:val="000B61E9"/>
    <w:rsid w:val="000B683B"/>
    <w:rsid w:val="000B7C8E"/>
    <w:rsid w:val="000C04BB"/>
    <w:rsid w:val="000C1213"/>
    <w:rsid w:val="000C165A"/>
    <w:rsid w:val="000C2DC3"/>
    <w:rsid w:val="000C2E19"/>
    <w:rsid w:val="000C3491"/>
    <w:rsid w:val="000C37C8"/>
    <w:rsid w:val="000C3B63"/>
    <w:rsid w:val="000C4669"/>
    <w:rsid w:val="000C551A"/>
    <w:rsid w:val="000C5AE0"/>
    <w:rsid w:val="000C7A3A"/>
    <w:rsid w:val="000D0D07"/>
    <w:rsid w:val="000D1CF2"/>
    <w:rsid w:val="000D1F34"/>
    <w:rsid w:val="000D227B"/>
    <w:rsid w:val="000D4797"/>
    <w:rsid w:val="000D57E6"/>
    <w:rsid w:val="000D6392"/>
    <w:rsid w:val="000D6F28"/>
    <w:rsid w:val="000D7119"/>
    <w:rsid w:val="000E0527"/>
    <w:rsid w:val="000E1509"/>
    <w:rsid w:val="000E1944"/>
    <w:rsid w:val="000E1E66"/>
    <w:rsid w:val="000E1E92"/>
    <w:rsid w:val="000E2005"/>
    <w:rsid w:val="000E20BE"/>
    <w:rsid w:val="000E2C4A"/>
    <w:rsid w:val="000E61D4"/>
    <w:rsid w:val="000E6E25"/>
    <w:rsid w:val="000E7251"/>
    <w:rsid w:val="000F018A"/>
    <w:rsid w:val="000F01CE"/>
    <w:rsid w:val="000F040B"/>
    <w:rsid w:val="000F06D6"/>
    <w:rsid w:val="000F06F8"/>
    <w:rsid w:val="000F0EB1"/>
    <w:rsid w:val="000F1106"/>
    <w:rsid w:val="000F257F"/>
    <w:rsid w:val="000F3BE9"/>
    <w:rsid w:val="000F3F6C"/>
    <w:rsid w:val="000F461D"/>
    <w:rsid w:val="000F4F50"/>
    <w:rsid w:val="000F501E"/>
    <w:rsid w:val="000F5137"/>
    <w:rsid w:val="000F5153"/>
    <w:rsid w:val="000F6030"/>
    <w:rsid w:val="000F62FC"/>
    <w:rsid w:val="000F6DF3"/>
    <w:rsid w:val="000F7517"/>
    <w:rsid w:val="001005FF"/>
    <w:rsid w:val="00101653"/>
    <w:rsid w:val="00102AFE"/>
    <w:rsid w:val="00102F85"/>
    <w:rsid w:val="001031DB"/>
    <w:rsid w:val="00103A5B"/>
    <w:rsid w:val="00103D56"/>
    <w:rsid w:val="00103E92"/>
    <w:rsid w:val="0010424D"/>
    <w:rsid w:val="001062FB"/>
    <w:rsid w:val="001063E6"/>
    <w:rsid w:val="00106C25"/>
    <w:rsid w:val="001111F6"/>
    <w:rsid w:val="001115ED"/>
    <w:rsid w:val="00111F48"/>
    <w:rsid w:val="00112DEC"/>
    <w:rsid w:val="00113CF4"/>
    <w:rsid w:val="00114549"/>
    <w:rsid w:val="0011510E"/>
    <w:rsid w:val="001153EA"/>
    <w:rsid w:val="00115643"/>
    <w:rsid w:val="001158D0"/>
    <w:rsid w:val="00116354"/>
    <w:rsid w:val="00116765"/>
    <w:rsid w:val="00117582"/>
    <w:rsid w:val="00120A8E"/>
    <w:rsid w:val="00120BA7"/>
    <w:rsid w:val="001219F5"/>
    <w:rsid w:val="00121A20"/>
    <w:rsid w:val="001235B0"/>
    <w:rsid w:val="001236EE"/>
    <w:rsid w:val="0012377F"/>
    <w:rsid w:val="001239AE"/>
    <w:rsid w:val="00123AE9"/>
    <w:rsid w:val="00124112"/>
    <w:rsid w:val="00124314"/>
    <w:rsid w:val="00124626"/>
    <w:rsid w:val="00126754"/>
    <w:rsid w:val="00126B4A"/>
    <w:rsid w:val="001270FD"/>
    <w:rsid w:val="0012730E"/>
    <w:rsid w:val="00127D4C"/>
    <w:rsid w:val="001303D6"/>
    <w:rsid w:val="00131AD0"/>
    <w:rsid w:val="00131FBD"/>
    <w:rsid w:val="00132FD0"/>
    <w:rsid w:val="001331E2"/>
    <w:rsid w:val="00133493"/>
    <w:rsid w:val="00133826"/>
    <w:rsid w:val="00134306"/>
    <w:rsid w:val="001344C0"/>
    <w:rsid w:val="001346FA"/>
    <w:rsid w:val="001349D6"/>
    <w:rsid w:val="00135252"/>
    <w:rsid w:val="00137AB5"/>
    <w:rsid w:val="00137D96"/>
    <w:rsid w:val="00137DF9"/>
    <w:rsid w:val="00137F0B"/>
    <w:rsid w:val="001412DA"/>
    <w:rsid w:val="001427A6"/>
    <w:rsid w:val="00142E33"/>
    <w:rsid w:val="0014494A"/>
    <w:rsid w:val="00144DA9"/>
    <w:rsid w:val="001453BA"/>
    <w:rsid w:val="001479E9"/>
    <w:rsid w:val="001517BC"/>
    <w:rsid w:val="00151E23"/>
    <w:rsid w:val="001526E0"/>
    <w:rsid w:val="00153FC6"/>
    <w:rsid w:val="00154A1C"/>
    <w:rsid w:val="001551B5"/>
    <w:rsid w:val="00155605"/>
    <w:rsid w:val="0015678C"/>
    <w:rsid w:val="00161943"/>
    <w:rsid w:val="001623B9"/>
    <w:rsid w:val="0016250F"/>
    <w:rsid w:val="001627E0"/>
    <w:rsid w:val="00164026"/>
    <w:rsid w:val="00164195"/>
    <w:rsid w:val="00164520"/>
    <w:rsid w:val="001659C1"/>
    <w:rsid w:val="00165CED"/>
    <w:rsid w:val="00166049"/>
    <w:rsid w:val="001660A5"/>
    <w:rsid w:val="00166875"/>
    <w:rsid w:val="0017367D"/>
    <w:rsid w:val="00173968"/>
    <w:rsid w:val="00173A8E"/>
    <w:rsid w:val="00174EAF"/>
    <w:rsid w:val="0017502C"/>
    <w:rsid w:val="001757BF"/>
    <w:rsid w:val="001759C7"/>
    <w:rsid w:val="0017758C"/>
    <w:rsid w:val="0018143F"/>
    <w:rsid w:val="00181FF8"/>
    <w:rsid w:val="00182467"/>
    <w:rsid w:val="00182573"/>
    <w:rsid w:val="00183307"/>
    <w:rsid w:val="00183FA2"/>
    <w:rsid w:val="001847D7"/>
    <w:rsid w:val="001854BB"/>
    <w:rsid w:val="001856CA"/>
    <w:rsid w:val="00185DAD"/>
    <w:rsid w:val="00190AC1"/>
    <w:rsid w:val="00190BDF"/>
    <w:rsid w:val="00191714"/>
    <w:rsid w:val="0019174F"/>
    <w:rsid w:val="00191BA8"/>
    <w:rsid w:val="00191D2E"/>
    <w:rsid w:val="001923CA"/>
    <w:rsid w:val="001928CD"/>
    <w:rsid w:val="0019341A"/>
    <w:rsid w:val="00193538"/>
    <w:rsid w:val="0019406B"/>
    <w:rsid w:val="001956AB"/>
    <w:rsid w:val="001956B5"/>
    <w:rsid w:val="0019580D"/>
    <w:rsid w:val="00195811"/>
    <w:rsid w:val="00196ED6"/>
    <w:rsid w:val="00197A7E"/>
    <w:rsid w:val="00197DF9"/>
    <w:rsid w:val="001A1987"/>
    <w:rsid w:val="001A1F2B"/>
    <w:rsid w:val="001A201C"/>
    <w:rsid w:val="001A2254"/>
    <w:rsid w:val="001A2564"/>
    <w:rsid w:val="001A4407"/>
    <w:rsid w:val="001A552B"/>
    <w:rsid w:val="001A6173"/>
    <w:rsid w:val="001A632E"/>
    <w:rsid w:val="001A6CBA"/>
    <w:rsid w:val="001A7414"/>
    <w:rsid w:val="001A781C"/>
    <w:rsid w:val="001A7BE5"/>
    <w:rsid w:val="001B0777"/>
    <w:rsid w:val="001B0D97"/>
    <w:rsid w:val="001B0EC5"/>
    <w:rsid w:val="001B1299"/>
    <w:rsid w:val="001B1B70"/>
    <w:rsid w:val="001B4BC4"/>
    <w:rsid w:val="001B5A5D"/>
    <w:rsid w:val="001B74CF"/>
    <w:rsid w:val="001B778B"/>
    <w:rsid w:val="001B79CA"/>
    <w:rsid w:val="001C0145"/>
    <w:rsid w:val="001C1734"/>
    <w:rsid w:val="001C1CE5"/>
    <w:rsid w:val="001C224A"/>
    <w:rsid w:val="001C2AE1"/>
    <w:rsid w:val="001C2D72"/>
    <w:rsid w:val="001C3D2A"/>
    <w:rsid w:val="001C448C"/>
    <w:rsid w:val="001C52F2"/>
    <w:rsid w:val="001C5339"/>
    <w:rsid w:val="001C5B47"/>
    <w:rsid w:val="001C674C"/>
    <w:rsid w:val="001C6EC7"/>
    <w:rsid w:val="001D018F"/>
    <w:rsid w:val="001D14D0"/>
    <w:rsid w:val="001D209B"/>
    <w:rsid w:val="001D27FB"/>
    <w:rsid w:val="001D3445"/>
    <w:rsid w:val="001D4A07"/>
    <w:rsid w:val="001D5188"/>
    <w:rsid w:val="001D51BA"/>
    <w:rsid w:val="001D53E7"/>
    <w:rsid w:val="001D6342"/>
    <w:rsid w:val="001D6D53"/>
    <w:rsid w:val="001D6F41"/>
    <w:rsid w:val="001D798B"/>
    <w:rsid w:val="001D7ED8"/>
    <w:rsid w:val="001E1232"/>
    <w:rsid w:val="001E2D30"/>
    <w:rsid w:val="001E3112"/>
    <w:rsid w:val="001E4514"/>
    <w:rsid w:val="001E58E2"/>
    <w:rsid w:val="001E789E"/>
    <w:rsid w:val="001E7AED"/>
    <w:rsid w:val="001F0486"/>
    <w:rsid w:val="001F2433"/>
    <w:rsid w:val="001F2465"/>
    <w:rsid w:val="001F3300"/>
    <w:rsid w:val="001F3408"/>
    <w:rsid w:val="001F3916"/>
    <w:rsid w:val="001F447D"/>
    <w:rsid w:val="001F4B3B"/>
    <w:rsid w:val="001F54C5"/>
    <w:rsid w:val="001F5827"/>
    <w:rsid w:val="001F662C"/>
    <w:rsid w:val="001F7074"/>
    <w:rsid w:val="001F7A99"/>
    <w:rsid w:val="001F7CE2"/>
    <w:rsid w:val="0020041B"/>
    <w:rsid w:val="00200490"/>
    <w:rsid w:val="00200D8B"/>
    <w:rsid w:val="00200DAC"/>
    <w:rsid w:val="00201C5C"/>
    <w:rsid w:val="00201F3A"/>
    <w:rsid w:val="002037D4"/>
    <w:rsid w:val="00203F96"/>
    <w:rsid w:val="0020439E"/>
    <w:rsid w:val="0020528E"/>
    <w:rsid w:val="0020532E"/>
    <w:rsid w:val="0020538D"/>
    <w:rsid w:val="0020549D"/>
    <w:rsid w:val="00205FAC"/>
    <w:rsid w:val="002069B2"/>
    <w:rsid w:val="002070D3"/>
    <w:rsid w:val="00207FA3"/>
    <w:rsid w:val="002132B1"/>
    <w:rsid w:val="00213E6B"/>
    <w:rsid w:val="0021404A"/>
    <w:rsid w:val="00214B67"/>
    <w:rsid w:val="00214DA8"/>
    <w:rsid w:val="00214F19"/>
    <w:rsid w:val="00214F7A"/>
    <w:rsid w:val="00215423"/>
    <w:rsid w:val="002157AF"/>
    <w:rsid w:val="002158FA"/>
    <w:rsid w:val="00215D90"/>
    <w:rsid w:val="00215FE2"/>
    <w:rsid w:val="002165F2"/>
    <w:rsid w:val="00220600"/>
    <w:rsid w:val="002224DB"/>
    <w:rsid w:val="00223548"/>
    <w:rsid w:val="00223DC1"/>
    <w:rsid w:val="00223FCB"/>
    <w:rsid w:val="00224184"/>
    <w:rsid w:val="00224A20"/>
    <w:rsid w:val="002252C3"/>
    <w:rsid w:val="00225712"/>
    <w:rsid w:val="00225C54"/>
    <w:rsid w:val="00225CBE"/>
    <w:rsid w:val="00225F06"/>
    <w:rsid w:val="00226160"/>
    <w:rsid w:val="002269DB"/>
    <w:rsid w:val="00226CA5"/>
    <w:rsid w:val="00230765"/>
    <w:rsid w:val="00230B3A"/>
    <w:rsid w:val="00230D18"/>
    <w:rsid w:val="00231722"/>
    <w:rsid w:val="002319E4"/>
    <w:rsid w:val="00232164"/>
    <w:rsid w:val="00232A71"/>
    <w:rsid w:val="00232F35"/>
    <w:rsid w:val="00233164"/>
    <w:rsid w:val="00233C48"/>
    <w:rsid w:val="0023430B"/>
    <w:rsid w:val="002344AA"/>
    <w:rsid w:val="00234B14"/>
    <w:rsid w:val="00234D02"/>
    <w:rsid w:val="00235219"/>
    <w:rsid w:val="00235632"/>
    <w:rsid w:val="00235872"/>
    <w:rsid w:val="00235B6E"/>
    <w:rsid w:val="00236903"/>
    <w:rsid w:val="00237CDA"/>
    <w:rsid w:val="00241559"/>
    <w:rsid w:val="00242515"/>
    <w:rsid w:val="002435B3"/>
    <w:rsid w:val="002458EB"/>
    <w:rsid w:val="00247580"/>
    <w:rsid w:val="002500C8"/>
    <w:rsid w:val="00250FDC"/>
    <w:rsid w:val="0025166F"/>
    <w:rsid w:val="0025167E"/>
    <w:rsid w:val="00251879"/>
    <w:rsid w:val="00252B16"/>
    <w:rsid w:val="00253295"/>
    <w:rsid w:val="002541D8"/>
    <w:rsid w:val="00256EE5"/>
    <w:rsid w:val="00257543"/>
    <w:rsid w:val="0026069E"/>
    <w:rsid w:val="002617E7"/>
    <w:rsid w:val="00262CFF"/>
    <w:rsid w:val="00264178"/>
    <w:rsid w:val="00264228"/>
    <w:rsid w:val="00264334"/>
    <w:rsid w:val="0026473E"/>
    <w:rsid w:val="002650BD"/>
    <w:rsid w:val="002659A8"/>
    <w:rsid w:val="00266214"/>
    <w:rsid w:val="0026624D"/>
    <w:rsid w:val="0026693A"/>
    <w:rsid w:val="00266FE8"/>
    <w:rsid w:val="0026790F"/>
    <w:rsid w:val="00267C83"/>
    <w:rsid w:val="0027037F"/>
    <w:rsid w:val="0027140B"/>
    <w:rsid w:val="0027144F"/>
    <w:rsid w:val="00271500"/>
    <w:rsid w:val="00271813"/>
    <w:rsid w:val="00271D03"/>
    <w:rsid w:val="00271F3A"/>
    <w:rsid w:val="002727EF"/>
    <w:rsid w:val="00272E8A"/>
    <w:rsid w:val="00273278"/>
    <w:rsid w:val="002737F4"/>
    <w:rsid w:val="00274B88"/>
    <w:rsid w:val="00274EB9"/>
    <w:rsid w:val="00274F1D"/>
    <w:rsid w:val="00274F3B"/>
    <w:rsid w:val="0027556B"/>
    <w:rsid w:val="0027645F"/>
    <w:rsid w:val="00276D01"/>
    <w:rsid w:val="00277647"/>
    <w:rsid w:val="002805F5"/>
    <w:rsid w:val="00280751"/>
    <w:rsid w:val="00280BB3"/>
    <w:rsid w:val="0028280A"/>
    <w:rsid w:val="0028667C"/>
    <w:rsid w:val="00286ACD"/>
    <w:rsid w:val="00286BBB"/>
    <w:rsid w:val="002877ED"/>
    <w:rsid w:val="00287838"/>
    <w:rsid w:val="002907B5"/>
    <w:rsid w:val="00290A00"/>
    <w:rsid w:val="00290B88"/>
    <w:rsid w:val="00292548"/>
    <w:rsid w:val="00292EB7"/>
    <w:rsid w:val="00293EC9"/>
    <w:rsid w:val="00294DA9"/>
    <w:rsid w:val="002958E0"/>
    <w:rsid w:val="00296227"/>
    <w:rsid w:val="00296F44"/>
    <w:rsid w:val="0029777D"/>
    <w:rsid w:val="002978EB"/>
    <w:rsid w:val="002A055E"/>
    <w:rsid w:val="002A084D"/>
    <w:rsid w:val="002A1D4E"/>
    <w:rsid w:val="002A2869"/>
    <w:rsid w:val="002A2CFB"/>
    <w:rsid w:val="002A3B91"/>
    <w:rsid w:val="002A3E56"/>
    <w:rsid w:val="002A49C7"/>
    <w:rsid w:val="002A4B57"/>
    <w:rsid w:val="002A4CC1"/>
    <w:rsid w:val="002A5BA5"/>
    <w:rsid w:val="002A5DE4"/>
    <w:rsid w:val="002A5F15"/>
    <w:rsid w:val="002A7D0A"/>
    <w:rsid w:val="002B0886"/>
    <w:rsid w:val="002B0C9A"/>
    <w:rsid w:val="002B24D6"/>
    <w:rsid w:val="002B349C"/>
    <w:rsid w:val="002B5E0C"/>
    <w:rsid w:val="002C08C8"/>
    <w:rsid w:val="002C12AF"/>
    <w:rsid w:val="002C20AF"/>
    <w:rsid w:val="002C2AB7"/>
    <w:rsid w:val="002C3CCD"/>
    <w:rsid w:val="002C41E6"/>
    <w:rsid w:val="002C4656"/>
    <w:rsid w:val="002C4E83"/>
    <w:rsid w:val="002C5E63"/>
    <w:rsid w:val="002C7865"/>
    <w:rsid w:val="002D071A"/>
    <w:rsid w:val="002D34B2"/>
    <w:rsid w:val="002D366F"/>
    <w:rsid w:val="002D3FA8"/>
    <w:rsid w:val="002D48B0"/>
    <w:rsid w:val="002D4C17"/>
    <w:rsid w:val="002D5B37"/>
    <w:rsid w:val="002D67C3"/>
    <w:rsid w:val="002D6A4F"/>
    <w:rsid w:val="002D7637"/>
    <w:rsid w:val="002E052E"/>
    <w:rsid w:val="002E062B"/>
    <w:rsid w:val="002E1383"/>
    <w:rsid w:val="002E1464"/>
    <w:rsid w:val="002E17F2"/>
    <w:rsid w:val="002E2639"/>
    <w:rsid w:val="002E3298"/>
    <w:rsid w:val="002E331A"/>
    <w:rsid w:val="002E36EB"/>
    <w:rsid w:val="002E3F05"/>
    <w:rsid w:val="002E762B"/>
    <w:rsid w:val="002E7CAE"/>
    <w:rsid w:val="002F0102"/>
    <w:rsid w:val="002F13A0"/>
    <w:rsid w:val="002F13E4"/>
    <w:rsid w:val="002F1624"/>
    <w:rsid w:val="002F1A12"/>
    <w:rsid w:val="002F1CB1"/>
    <w:rsid w:val="002F2269"/>
    <w:rsid w:val="002F2771"/>
    <w:rsid w:val="002F279E"/>
    <w:rsid w:val="002F37A9"/>
    <w:rsid w:val="002F4826"/>
    <w:rsid w:val="002F4935"/>
    <w:rsid w:val="002F497B"/>
    <w:rsid w:val="002F4D4E"/>
    <w:rsid w:val="002F4EE4"/>
    <w:rsid w:val="002F5FAC"/>
    <w:rsid w:val="002F61AF"/>
    <w:rsid w:val="002F6C90"/>
    <w:rsid w:val="002F7614"/>
    <w:rsid w:val="002F7CD7"/>
    <w:rsid w:val="00301CE6"/>
    <w:rsid w:val="0030256B"/>
    <w:rsid w:val="00304171"/>
    <w:rsid w:val="0030501F"/>
    <w:rsid w:val="00306236"/>
    <w:rsid w:val="003076D0"/>
    <w:rsid w:val="00307A5D"/>
    <w:rsid w:val="00307BA1"/>
    <w:rsid w:val="00310308"/>
    <w:rsid w:val="0031169A"/>
    <w:rsid w:val="00311702"/>
    <w:rsid w:val="00311CF0"/>
    <w:rsid w:val="00311E82"/>
    <w:rsid w:val="00311E98"/>
    <w:rsid w:val="00312809"/>
    <w:rsid w:val="0031342B"/>
    <w:rsid w:val="003139B4"/>
    <w:rsid w:val="00313FD6"/>
    <w:rsid w:val="003143BD"/>
    <w:rsid w:val="00315363"/>
    <w:rsid w:val="003153BF"/>
    <w:rsid w:val="00315991"/>
    <w:rsid w:val="00315A07"/>
    <w:rsid w:val="0031604E"/>
    <w:rsid w:val="003162D0"/>
    <w:rsid w:val="00317409"/>
    <w:rsid w:val="003203ED"/>
    <w:rsid w:val="0032047A"/>
    <w:rsid w:val="00320E52"/>
    <w:rsid w:val="00322BFF"/>
    <w:rsid w:val="00322C9F"/>
    <w:rsid w:val="00322F35"/>
    <w:rsid w:val="00323899"/>
    <w:rsid w:val="00323E0E"/>
    <w:rsid w:val="00324674"/>
    <w:rsid w:val="00324B07"/>
    <w:rsid w:val="00324D23"/>
    <w:rsid w:val="00325195"/>
    <w:rsid w:val="003259DC"/>
    <w:rsid w:val="00325ACC"/>
    <w:rsid w:val="003268F4"/>
    <w:rsid w:val="00330567"/>
    <w:rsid w:val="0033069B"/>
    <w:rsid w:val="00331123"/>
    <w:rsid w:val="00331751"/>
    <w:rsid w:val="00333514"/>
    <w:rsid w:val="00333D62"/>
    <w:rsid w:val="0033401A"/>
    <w:rsid w:val="003341FB"/>
    <w:rsid w:val="0033438B"/>
    <w:rsid w:val="00334579"/>
    <w:rsid w:val="00335858"/>
    <w:rsid w:val="00336BDA"/>
    <w:rsid w:val="00337A1C"/>
    <w:rsid w:val="0034133E"/>
    <w:rsid w:val="0034157F"/>
    <w:rsid w:val="00342145"/>
    <w:rsid w:val="0034273B"/>
    <w:rsid w:val="00342814"/>
    <w:rsid w:val="00342BD7"/>
    <w:rsid w:val="0034360B"/>
    <w:rsid w:val="003436D5"/>
    <w:rsid w:val="003447A1"/>
    <w:rsid w:val="00344B76"/>
    <w:rsid w:val="003455CF"/>
    <w:rsid w:val="003464C3"/>
    <w:rsid w:val="00346651"/>
    <w:rsid w:val="00346DB5"/>
    <w:rsid w:val="003473DC"/>
    <w:rsid w:val="003477B1"/>
    <w:rsid w:val="003508B3"/>
    <w:rsid w:val="0035093A"/>
    <w:rsid w:val="00350E20"/>
    <w:rsid w:val="003512CF"/>
    <w:rsid w:val="00352500"/>
    <w:rsid w:val="0035268E"/>
    <w:rsid w:val="003526A0"/>
    <w:rsid w:val="00352CDC"/>
    <w:rsid w:val="0035341C"/>
    <w:rsid w:val="00353BA2"/>
    <w:rsid w:val="00353DFC"/>
    <w:rsid w:val="00354409"/>
    <w:rsid w:val="00354E94"/>
    <w:rsid w:val="00355E96"/>
    <w:rsid w:val="003563AE"/>
    <w:rsid w:val="00356927"/>
    <w:rsid w:val="00356F62"/>
    <w:rsid w:val="00357380"/>
    <w:rsid w:val="003602D9"/>
    <w:rsid w:val="003604CE"/>
    <w:rsid w:val="00360E33"/>
    <w:rsid w:val="003612B0"/>
    <w:rsid w:val="00362533"/>
    <w:rsid w:val="00362C8E"/>
    <w:rsid w:val="00363193"/>
    <w:rsid w:val="00363A62"/>
    <w:rsid w:val="00365CD4"/>
    <w:rsid w:val="003666BE"/>
    <w:rsid w:val="003702C8"/>
    <w:rsid w:val="00370E47"/>
    <w:rsid w:val="00371B09"/>
    <w:rsid w:val="00371ED7"/>
    <w:rsid w:val="003742AC"/>
    <w:rsid w:val="00374393"/>
    <w:rsid w:val="003746EB"/>
    <w:rsid w:val="00375377"/>
    <w:rsid w:val="00375381"/>
    <w:rsid w:val="00375A16"/>
    <w:rsid w:val="00376725"/>
    <w:rsid w:val="00376C25"/>
    <w:rsid w:val="00377043"/>
    <w:rsid w:val="00377B99"/>
    <w:rsid w:val="00377CE1"/>
    <w:rsid w:val="0038113B"/>
    <w:rsid w:val="00382FE2"/>
    <w:rsid w:val="00383A15"/>
    <w:rsid w:val="00383EBC"/>
    <w:rsid w:val="00384410"/>
    <w:rsid w:val="00385BF0"/>
    <w:rsid w:val="00386271"/>
    <w:rsid w:val="003867F1"/>
    <w:rsid w:val="00390074"/>
    <w:rsid w:val="003915D5"/>
    <w:rsid w:val="00392731"/>
    <w:rsid w:val="00392D72"/>
    <w:rsid w:val="003939D4"/>
    <w:rsid w:val="003939FF"/>
    <w:rsid w:val="00394B9D"/>
    <w:rsid w:val="003A1C39"/>
    <w:rsid w:val="003A1C5B"/>
    <w:rsid w:val="003A2223"/>
    <w:rsid w:val="003A2A0F"/>
    <w:rsid w:val="003A32A1"/>
    <w:rsid w:val="003A36D2"/>
    <w:rsid w:val="003A371B"/>
    <w:rsid w:val="003A3BB2"/>
    <w:rsid w:val="003A45A1"/>
    <w:rsid w:val="003A5B0A"/>
    <w:rsid w:val="003A5F01"/>
    <w:rsid w:val="003A6714"/>
    <w:rsid w:val="003A6BAC"/>
    <w:rsid w:val="003A70A4"/>
    <w:rsid w:val="003A7C55"/>
    <w:rsid w:val="003A7EF3"/>
    <w:rsid w:val="003B0AED"/>
    <w:rsid w:val="003B159C"/>
    <w:rsid w:val="003B19BF"/>
    <w:rsid w:val="003B1AEB"/>
    <w:rsid w:val="003B1E0B"/>
    <w:rsid w:val="003B2295"/>
    <w:rsid w:val="003B3395"/>
    <w:rsid w:val="003B369F"/>
    <w:rsid w:val="003B36A3"/>
    <w:rsid w:val="003B4C3A"/>
    <w:rsid w:val="003B535B"/>
    <w:rsid w:val="003B64BB"/>
    <w:rsid w:val="003B7013"/>
    <w:rsid w:val="003B7FE5"/>
    <w:rsid w:val="003C0D97"/>
    <w:rsid w:val="003C0F27"/>
    <w:rsid w:val="003C11C8"/>
    <w:rsid w:val="003C1243"/>
    <w:rsid w:val="003C25C9"/>
    <w:rsid w:val="003C2702"/>
    <w:rsid w:val="003C408A"/>
    <w:rsid w:val="003C7806"/>
    <w:rsid w:val="003C7CD4"/>
    <w:rsid w:val="003C7ED3"/>
    <w:rsid w:val="003D092E"/>
    <w:rsid w:val="003D0E16"/>
    <w:rsid w:val="003D109F"/>
    <w:rsid w:val="003D1815"/>
    <w:rsid w:val="003D1ECF"/>
    <w:rsid w:val="003D2478"/>
    <w:rsid w:val="003D34B1"/>
    <w:rsid w:val="003D3C45"/>
    <w:rsid w:val="003D4CD2"/>
    <w:rsid w:val="003D50BA"/>
    <w:rsid w:val="003D5B1F"/>
    <w:rsid w:val="003D6019"/>
    <w:rsid w:val="003D7066"/>
    <w:rsid w:val="003E0BC2"/>
    <w:rsid w:val="003E147C"/>
    <w:rsid w:val="003E15FA"/>
    <w:rsid w:val="003E314F"/>
    <w:rsid w:val="003E3431"/>
    <w:rsid w:val="003E37E6"/>
    <w:rsid w:val="003E4407"/>
    <w:rsid w:val="003E55E4"/>
    <w:rsid w:val="003E60F4"/>
    <w:rsid w:val="003E7093"/>
    <w:rsid w:val="003E74E3"/>
    <w:rsid w:val="003E7623"/>
    <w:rsid w:val="003E79F0"/>
    <w:rsid w:val="003E7FC7"/>
    <w:rsid w:val="003F05C7"/>
    <w:rsid w:val="003F0A77"/>
    <w:rsid w:val="003F1C1F"/>
    <w:rsid w:val="003F204E"/>
    <w:rsid w:val="003F2225"/>
    <w:rsid w:val="003F23E8"/>
    <w:rsid w:val="003F2693"/>
    <w:rsid w:val="003F2CD4"/>
    <w:rsid w:val="003F579F"/>
    <w:rsid w:val="003F6BBE"/>
    <w:rsid w:val="003F753C"/>
    <w:rsid w:val="004000E8"/>
    <w:rsid w:val="004011AC"/>
    <w:rsid w:val="004014BA"/>
    <w:rsid w:val="0040261A"/>
    <w:rsid w:val="00402E2B"/>
    <w:rsid w:val="0040389D"/>
    <w:rsid w:val="00403C5C"/>
    <w:rsid w:val="00404A5D"/>
    <w:rsid w:val="00404C68"/>
    <w:rsid w:val="0040512B"/>
    <w:rsid w:val="004058AA"/>
    <w:rsid w:val="00405CA0"/>
    <w:rsid w:val="00405CA5"/>
    <w:rsid w:val="00406380"/>
    <w:rsid w:val="004074D7"/>
    <w:rsid w:val="00407CD3"/>
    <w:rsid w:val="00410134"/>
    <w:rsid w:val="00410B72"/>
    <w:rsid w:val="00410B7E"/>
    <w:rsid w:val="00410D7F"/>
    <w:rsid w:val="00410F18"/>
    <w:rsid w:val="0041203C"/>
    <w:rsid w:val="0041207E"/>
    <w:rsid w:val="004121FD"/>
    <w:rsid w:val="00412229"/>
    <w:rsid w:val="004124A7"/>
    <w:rsid w:val="004125F3"/>
    <w:rsid w:val="0041263E"/>
    <w:rsid w:val="00413AAC"/>
    <w:rsid w:val="00413E92"/>
    <w:rsid w:val="00415418"/>
    <w:rsid w:val="004201C5"/>
    <w:rsid w:val="00420FBB"/>
    <w:rsid w:val="00421105"/>
    <w:rsid w:val="00422AA4"/>
    <w:rsid w:val="00422DE1"/>
    <w:rsid w:val="00423932"/>
    <w:rsid w:val="004242F4"/>
    <w:rsid w:val="00424494"/>
    <w:rsid w:val="00425467"/>
    <w:rsid w:val="00425827"/>
    <w:rsid w:val="00426143"/>
    <w:rsid w:val="00427248"/>
    <w:rsid w:val="00430650"/>
    <w:rsid w:val="00430B0A"/>
    <w:rsid w:val="00432B91"/>
    <w:rsid w:val="00434314"/>
    <w:rsid w:val="00436252"/>
    <w:rsid w:val="0043655D"/>
    <w:rsid w:val="00437447"/>
    <w:rsid w:val="00437A8D"/>
    <w:rsid w:val="00437D67"/>
    <w:rsid w:val="00441A92"/>
    <w:rsid w:val="004427A1"/>
    <w:rsid w:val="004431DC"/>
    <w:rsid w:val="00443546"/>
    <w:rsid w:val="00444B01"/>
    <w:rsid w:val="00444F56"/>
    <w:rsid w:val="00446488"/>
    <w:rsid w:val="004504DA"/>
    <w:rsid w:val="004507C5"/>
    <w:rsid w:val="004517AA"/>
    <w:rsid w:val="00452CAC"/>
    <w:rsid w:val="00454743"/>
    <w:rsid w:val="00455120"/>
    <w:rsid w:val="004561D1"/>
    <w:rsid w:val="0045669A"/>
    <w:rsid w:val="00456B0C"/>
    <w:rsid w:val="00457565"/>
    <w:rsid w:val="0045799F"/>
    <w:rsid w:val="00457B4C"/>
    <w:rsid w:val="00457B71"/>
    <w:rsid w:val="00457CEE"/>
    <w:rsid w:val="0046008C"/>
    <w:rsid w:val="00461FDA"/>
    <w:rsid w:val="0046464B"/>
    <w:rsid w:val="00464689"/>
    <w:rsid w:val="004649A5"/>
    <w:rsid w:val="004653AC"/>
    <w:rsid w:val="0046646C"/>
    <w:rsid w:val="004669E2"/>
    <w:rsid w:val="00467BCF"/>
    <w:rsid w:val="00470C31"/>
    <w:rsid w:val="00471090"/>
    <w:rsid w:val="00471DE0"/>
    <w:rsid w:val="00472708"/>
    <w:rsid w:val="00472E14"/>
    <w:rsid w:val="0047342C"/>
    <w:rsid w:val="004734D0"/>
    <w:rsid w:val="00473576"/>
    <w:rsid w:val="004740BF"/>
    <w:rsid w:val="00474B4C"/>
    <w:rsid w:val="00474E84"/>
    <w:rsid w:val="0047556B"/>
    <w:rsid w:val="0047582E"/>
    <w:rsid w:val="00475A1A"/>
    <w:rsid w:val="00476DCD"/>
    <w:rsid w:val="00477476"/>
    <w:rsid w:val="00477768"/>
    <w:rsid w:val="0048060F"/>
    <w:rsid w:val="00482FC1"/>
    <w:rsid w:val="00483F7C"/>
    <w:rsid w:val="00484489"/>
    <w:rsid w:val="00484A46"/>
    <w:rsid w:val="00484FCA"/>
    <w:rsid w:val="00485CD7"/>
    <w:rsid w:val="004863DE"/>
    <w:rsid w:val="004874B9"/>
    <w:rsid w:val="0048752D"/>
    <w:rsid w:val="00491312"/>
    <w:rsid w:val="00491554"/>
    <w:rsid w:val="00491C57"/>
    <w:rsid w:val="0049202D"/>
    <w:rsid w:val="00492BC5"/>
    <w:rsid w:val="004934E6"/>
    <w:rsid w:val="004938A3"/>
    <w:rsid w:val="00495258"/>
    <w:rsid w:val="004964F1"/>
    <w:rsid w:val="004966DA"/>
    <w:rsid w:val="00497718"/>
    <w:rsid w:val="004A11BA"/>
    <w:rsid w:val="004A16BC"/>
    <w:rsid w:val="004A2B94"/>
    <w:rsid w:val="004A2DA1"/>
    <w:rsid w:val="004A33FB"/>
    <w:rsid w:val="004A3EAB"/>
    <w:rsid w:val="004A4D23"/>
    <w:rsid w:val="004A4E9C"/>
    <w:rsid w:val="004A5796"/>
    <w:rsid w:val="004A6CA1"/>
    <w:rsid w:val="004A7CB4"/>
    <w:rsid w:val="004B1824"/>
    <w:rsid w:val="004B5A68"/>
    <w:rsid w:val="004B5B26"/>
    <w:rsid w:val="004B5CA1"/>
    <w:rsid w:val="004B6C7D"/>
    <w:rsid w:val="004B6EA2"/>
    <w:rsid w:val="004B6F6A"/>
    <w:rsid w:val="004B70D5"/>
    <w:rsid w:val="004B7959"/>
    <w:rsid w:val="004B7C0C"/>
    <w:rsid w:val="004C1066"/>
    <w:rsid w:val="004C187B"/>
    <w:rsid w:val="004C2AFD"/>
    <w:rsid w:val="004C35EC"/>
    <w:rsid w:val="004C3898"/>
    <w:rsid w:val="004C4970"/>
    <w:rsid w:val="004C4982"/>
    <w:rsid w:val="004C4D76"/>
    <w:rsid w:val="004D014B"/>
    <w:rsid w:val="004D0CF2"/>
    <w:rsid w:val="004D1DF4"/>
    <w:rsid w:val="004D2730"/>
    <w:rsid w:val="004D27B6"/>
    <w:rsid w:val="004D2BF7"/>
    <w:rsid w:val="004D2FA1"/>
    <w:rsid w:val="004D3616"/>
    <w:rsid w:val="004D36B1"/>
    <w:rsid w:val="004D38FE"/>
    <w:rsid w:val="004D3CC7"/>
    <w:rsid w:val="004D5D85"/>
    <w:rsid w:val="004D61B4"/>
    <w:rsid w:val="004D73A3"/>
    <w:rsid w:val="004D74EE"/>
    <w:rsid w:val="004D7645"/>
    <w:rsid w:val="004D7EBD"/>
    <w:rsid w:val="004E0224"/>
    <w:rsid w:val="004E0317"/>
    <w:rsid w:val="004E0741"/>
    <w:rsid w:val="004E0FF7"/>
    <w:rsid w:val="004E130B"/>
    <w:rsid w:val="004E1F90"/>
    <w:rsid w:val="004E20AC"/>
    <w:rsid w:val="004E2650"/>
    <w:rsid w:val="004E2680"/>
    <w:rsid w:val="004E28F9"/>
    <w:rsid w:val="004E3DE5"/>
    <w:rsid w:val="004E462E"/>
    <w:rsid w:val="004E50F7"/>
    <w:rsid w:val="004E56DC"/>
    <w:rsid w:val="004E76F4"/>
    <w:rsid w:val="004E7728"/>
    <w:rsid w:val="004E7B3F"/>
    <w:rsid w:val="004F0B4E"/>
    <w:rsid w:val="004F0B6C"/>
    <w:rsid w:val="004F2078"/>
    <w:rsid w:val="004F219E"/>
    <w:rsid w:val="004F2899"/>
    <w:rsid w:val="004F28B2"/>
    <w:rsid w:val="004F311F"/>
    <w:rsid w:val="004F4DA3"/>
    <w:rsid w:val="004F4F54"/>
    <w:rsid w:val="004F6CE8"/>
    <w:rsid w:val="004F6E9D"/>
    <w:rsid w:val="004F7E1E"/>
    <w:rsid w:val="00501696"/>
    <w:rsid w:val="00501BAC"/>
    <w:rsid w:val="005039D1"/>
    <w:rsid w:val="00504C9E"/>
    <w:rsid w:val="005055E7"/>
    <w:rsid w:val="0050582E"/>
    <w:rsid w:val="00506557"/>
    <w:rsid w:val="0050677A"/>
    <w:rsid w:val="0050742B"/>
    <w:rsid w:val="0051040B"/>
    <w:rsid w:val="005108D8"/>
    <w:rsid w:val="005115B0"/>
    <w:rsid w:val="0051168F"/>
    <w:rsid w:val="005116F9"/>
    <w:rsid w:val="00511A94"/>
    <w:rsid w:val="00513A8B"/>
    <w:rsid w:val="00514B68"/>
    <w:rsid w:val="00514BDE"/>
    <w:rsid w:val="005153A7"/>
    <w:rsid w:val="00515883"/>
    <w:rsid w:val="00516065"/>
    <w:rsid w:val="00516EFF"/>
    <w:rsid w:val="0052199A"/>
    <w:rsid w:val="005219CF"/>
    <w:rsid w:val="00521AC9"/>
    <w:rsid w:val="005227C1"/>
    <w:rsid w:val="00522A15"/>
    <w:rsid w:val="00524227"/>
    <w:rsid w:val="00524EFA"/>
    <w:rsid w:val="00526258"/>
    <w:rsid w:val="005265EB"/>
    <w:rsid w:val="00526685"/>
    <w:rsid w:val="00532375"/>
    <w:rsid w:val="00533354"/>
    <w:rsid w:val="00534777"/>
    <w:rsid w:val="00534883"/>
    <w:rsid w:val="00534B59"/>
    <w:rsid w:val="00534CE0"/>
    <w:rsid w:val="0053525B"/>
    <w:rsid w:val="005357E0"/>
    <w:rsid w:val="00536759"/>
    <w:rsid w:val="00537C62"/>
    <w:rsid w:val="00537CFB"/>
    <w:rsid w:val="00537DEF"/>
    <w:rsid w:val="0054019B"/>
    <w:rsid w:val="00540339"/>
    <w:rsid w:val="005403B6"/>
    <w:rsid w:val="00540563"/>
    <w:rsid w:val="00541D2B"/>
    <w:rsid w:val="00542CB4"/>
    <w:rsid w:val="00544F74"/>
    <w:rsid w:val="00545E8B"/>
    <w:rsid w:val="00546970"/>
    <w:rsid w:val="00547BA5"/>
    <w:rsid w:val="0055055D"/>
    <w:rsid w:val="005508F2"/>
    <w:rsid w:val="00550A54"/>
    <w:rsid w:val="00550D01"/>
    <w:rsid w:val="00551E8B"/>
    <w:rsid w:val="00551F1D"/>
    <w:rsid w:val="0055208F"/>
    <w:rsid w:val="00552509"/>
    <w:rsid w:val="00552AB5"/>
    <w:rsid w:val="00552B4F"/>
    <w:rsid w:val="00553838"/>
    <w:rsid w:val="005544BA"/>
    <w:rsid w:val="0055495B"/>
    <w:rsid w:val="00554E19"/>
    <w:rsid w:val="00555428"/>
    <w:rsid w:val="00556205"/>
    <w:rsid w:val="00556718"/>
    <w:rsid w:val="00556BEF"/>
    <w:rsid w:val="005605A3"/>
    <w:rsid w:val="0056121F"/>
    <w:rsid w:val="0056149A"/>
    <w:rsid w:val="00561681"/>
    <w:rsid w:val="0056196D"/>
    <w:rsid w:val="00561F0D"/>
    <w:rsid w:val="00563615"/>
    <w:rsid w:val="00564A85"/>
    <w:rsid w:val="00567363"/>
    <w:rsid w:val="00572505"/>
    <w:rsid w:val="0057491E"/>
    <w:rsid w:val="00574B87"/>
    <w:rsid w:val="00575A83"/>
    <w:rsid w:val="00575B5E"/>
    <w:rsid w:val="00576A36"/>
    <w:rsid w:val="00576E82"/>
    <w:rsid w:val="00580332"/>
    <w:rsid w:val="005807F0"/>
    <w:rsid w:val="00580A7B"/>
    <w:rsid w:val="005815F5"/>
    <w:rsid w:val="00582809"/>
    <w:rsid w:val="0058284F"/>
    <w:rsid w:val="00584127"/>
    <w:rsid w:val="00584EA9"/>
    <w:rsid w:val="005864B7"/>
    <w:rsid w:val="00586BA1"/>
    <w:rsid w:val="0058798C"/>
    <w:rsid w:val="00590033"/>
    <w:rsid w:val="005900FA"/>
    <w:rsid w:val="00590C13"/>
    <w:rsid w:val="005921C9"/>
    <w:rsid w:val="00592A85"/>
    <w:rsid w:val="005935A4"/>
    <w:rsid w:val="005948C2"/>
    <w:rsid w:val="005955D0"/>
    <w:rsid w:val="00595DCA"/>
    <w:rsid w:val="005971E3"/>
    <w:rsid w:val="0059779B"/>
    <w:rsid w:val="005A0CC3"/>
    <w:rsid w:val="005A1C1D"/>
    <w:rsid w:val="005A209A"/>
    <w:rsid w:val="005A2765"/>
    <w:rsid w:val="005A2E89"/>
    <w:rsid w:val="005A308D"/>
    <w:rsid w:val="005A3565"/>
    <w:rsid w:val="005A6033"/>
    <w:rsid w:val="005A662D"/>
    <w:rsid w:val="005A69E4"/>
    <w:rsid w:val="005A69E7"/>
    <w:rsid w:val="005A7DF4"/>
    <w:rsid w:val="005B0168"/>
    <w:rsid w:val="005B01B6"/>
    <w:rsid w:val="005B09CF"/>
    <w:rsid w:val="005B1409"/>
    <w:rsid w:val="005B16E5"/>
    <w:rsid w:val="005B1C76"/>
    <w:rsid w:val="005B35D7"/>
    <w:rsid w:val="005B392A"/>
    <w:rsid w:val="005B3AA3"/>
    <w:rsid w:val="005B4DA0"/>
    <w:rsid w:val="005B537D"/>
    <w:rsid w:val="005B53AF"/>
    <w:rsid w:val="005B55D0"/>
    <w:rsid w:val="005B5F06"/>
    <w:rsid w:val="005B6F83"/>
    <w:rsid w:val="005B72CC"/>
    <w:rsid w:val="005B7571"/>
    <w:rsid w:val="005C0D37"/>
    <w:rsid w:val="005C1BC0"/>
    <w:rsid w:val="005C21E7"/>
    <w:rsid w:val="005C27B5"/>
    <w:rsid w:val="005C2E56"/>
    <w:rsid w:val="005C360F"/>
    <w:rsid w:val="005C74FB"/>
    <w:rsid w:val="005C7DB7"/>
    <w:rsid w:val="005D0D05"/>
    <w:rsid w:val="005D1184"/>
    <w:rsid w:val="005D1602"/>
    <w:rsid w:val="005D2F0B"/>
    <w:rsid w:val="005D363E"/>
    <w:rsid w:val="005D4692"/>
    <w:rsid w:val="005D518E"/>
    <w:rsid w:val="005D66FA"/>
    <w:rsid w:val="005E030B"/>
    <w:rsid w:val="005E266F"/>
    <w:rsid w:val="005E281C"/>
    <w:rsid w:val="005E385F"/>
    <w:rsid w:val="005E3DA2"/>
    <w:rsid w:val="005E58EC"/>
    <w:rsid w:val="005E5B81"/>
    <w:rsid w:val="005E660A"/>
    <w:rsid w:val="005E716C"/>
    <w:rsid w:val="005F046F"/>
    <w:rsid w:val="005F223E"/>
    <w:rsid w:val="005F2528"/>
    <w:rsid w:val="005F28EA"/>
    <w:rsid w:val="005F2CB1"/>
    <w:rsid w:val="005F3025"/>
    <w:rsid w:val="005F3A06"/>
    <w:rsid w:val="005F3B58"/>
    <w:rsid w:val="005F486F"/>
    <w:rsid w:val="005F618C"/>
    <w:rsid w:val="005F6AD4"/>
    <w:rsid w:val="005F70BD"/>
    <w:rsid w:val="005F72FA"/>
    <w:rsid w:val="005F766F"/>
    <w:rsid w:val="00600386"/>
    <w:rsid w:val="00600DDC"/>
    <w:rsid w:val="0060283C"/>
    <w:rsid w:val="00603E27"/>
    <w:rsid w:val="00604450"/>
    <w:rsid w:val="00604F14"/>
    <w:rsid w:val="006051BE"/>
    <w:rsid w:val="006057AC"/>
    <w:rsid w:val="00605A84"/>
    <w:rsid w:val="0060629E"/>
    <w:rsid w:val="0060656B"/>
    <w:rsid w:val="00611294"/>
    <w:rsid w:val="0061188C"/>
    <w:rsid w:val="00611B83"/>
    <w:rsid w:val="00611BCB"/>
    <w:rsid w:val="00613257"/>
    <w:rsid w:val="00614456"/>
    <w:rsid w:val="00614DAB"/>
    <w:rsid w:val="006150D7"/>
    <w:rsid w:val="006154C2"/>
    <w:rsid w:val="006176AA"/>
    <w:rsid w:val="00617C78"/>
    <w:rsid w:val="00617F6C"/>
    <w:rsid w:val="00620A71"/>
    <w:rsid w:val="00620D80"/>
    <w:rsid w:val="00621E45"/>
    <w:rsid w:val="006234A6"/>
    <w:rsid w:val="0062372B"/>
    <w:rsid w:val="00624AFF"/>
    <w:rsid w:val="0062531B"/>
    <w:rsid w:val="00626A3E"/>
    <w:rsid w:val="00626F49"/>
    <w:rsid w:val="00630001"/>
    <w:rsid w:val="006309D9"/>
    <w:rsid w:val="006311A5"/>
    <w:rsid w:val="006311B3"/>
    <w:rsid w:val="00631FED"/>
    <w:rsid w:val="00632504"/>
    <w:rsid w:val="0063284C"/>
    <w:rsid w:val="00632D01"/>
    <w:rsid w:val="0063327E"/>
    <w:rsid w:val="006339D3"/>
    <w:rsid w:val="00636398"/>
    <w:rsid w:val="006368D3"/>
    <w:rsid w:val="0063697F"/>
    <w:rsid w:val="006372D1"/>
    <w:rsid w:val="00637344"/>
    <w:rsid w:val="006377EC"/>
    <w:rsid w:val="00637DED"/>
    <w:rsid w:val="00641122"/>
    <w:rsid w:val="0064151F"/>
    <w:rsid w:val="00641533"/>
    <w:rsid w:val="006418F3"/>
    <w:rsid w:val="00641F0C"/>
    <w:rsid w:val="00642056"/>
    <w:rsid w:val="0064208D"/>
    <w:rsid w:val="00642943"/>
    <w:rsid w:val="00643475"/>
    <w:rsid w:val="0064396A"/>
    <w:rsid w:val="00643E53"/>
    <w:rsid w:val="00644D26"/>
    <w:rsid w:val="00644FC8"/>
    <w:rsid w:val="0064624E"/>
    <w:rsid w:val="00646F5F"/>
    <w:rsid w:val="00647080"/>
    <w:rsid w:val="00650AB9"/>
    <w:rsid w:val="0065105B"/>
    <w:rsid w:val="00653E12"/>
    <w:rsid w:val="00654145"/>
    <w:rsid w:val="00654846"/>
    <w:rsid w:val="006548C2"/>
    <w:rsid w:val="006555E8"/>
    <w:rsid w:val="00655733"/>
    <w:rsid w:val="00655ACD"/>
    <w:rsid w:val="006562F1"/>
    <w:rsid w:val="00656A92"/>
    <w:rsid w:val="00656DDE"/>
    <w:rsid w:val="00657352"/>
    <w:rsid w:val="006577DD"/>
    <w:rsid w:val="0066011D"/>
    <w:rsid w:val="006601CF"/>
    <w:rsid w:val="006607C0"/>
    <w:rsid w:val="006613A6"/>
    <w:rsid w:val="0066187F"/>
    <w:rsid w:val="006627A2"/>
    <w:rsid w:val="00663292"/>
    <w:rsid w:val="006634E6"/>
    <w:rsid w:val="00663CC3"/>
    <w:rsid w:val="006655EE"/>
    <w:rsid w:val="00666197"/>
    <w:rsid w:val="006669B4"/>
    <w:rsid w:val="00667D12"/>
    <w:rsid w:val="00667EE7"/>
    <w:rsid w:val="00670922"/>
    <w:rsid w:val="00670BE1"/>
    <w:rsid w:val="00670E50"/>
    <w:rsid w:val="006711FC"/>
    <w:rsid w:val="00671759"/>
    <w:rsid w:val="00671948"/>
    <w:rsid w:val="0067218F"/>
    <w:rsid w:val="0067286C"/>
    <w:rsid w:val="006741F2"/>
    <w:rsid w:val="006748C8"/>
    <w:rsid w:val="00674CC3"/>
    <w:rsid w:val="006754D8"/>
    <w:rsid w:val="00675632"/>
    <w:rsid w:val="006756AF"/>
    <w:rsid w:val="00675C33"/>
    <w:rsid w:val="00675C72"/>
    <w:rsid w:val="006770BC"/>
    <w:rsid w:val="006771F9"/>
    <w:rsid w:val="006772ED"/>
    <w:rsid w:val="00677517"/>
    <w:rsid w:val="0067754A"/>
    <w:rsid w:val="006776D7"/>
    <w:rsid w:val="00680199"/>
    <w:rsid w:val="00680BFD"/>
    <w:rsid w:val="00681003"/>
    <w:rsid w:val="0068162B"/>
    <w:rsid w:val="006817C9"/>
    <w:rsid w:val="006817F8"/>
    <w:rsid w:val="00683380"/>
    <w:rsid w:val="00683564"/>
    <w:rsid w:val="00683ECE"/>
    <w:rsid w:val="006857EC"/>
    <w:rsid w:val="0068698B"/>
    <w:rsid w:val="00686A03"/>
    <w:rsid w:val="00686C2E"/>
    <w:rsid w:val="006914AF"/>
    <w:rsid w:val="0069159C"/>
    <w:rsid w:val="00694C78"/>
    <w:rsid w:val="00695FC2"/>
    <w:rsid w:val="00696250"/>
    <w:rsid w:val="006965CB"/>
    <w:rsid w:val="00696949"/>
    <w:rsid w:val="00696E76"/>
    <w:rsid w:val="00697052"/>
    <w:rsid w:val="00697BFF"/>
    <w:rsid w:val="006A0001"/>
    <w:rsid w:val="006A045A"/>
    <w:rsid w:val="006A1561"/>
    <w:rsid w:val="006A46FB"/>
    <w:rsid w:val="006A4EDC"/>
    <w:rsid w:val="006A5E28"/>
    <w:rsid w:val="006A5E52"/>
    <w:rsid w:val="006A6226"/>
    <w:rsid w:val="006A697B"/>
    <w:rsid w:val="006A6A5B"/>
    <w:rsid w:val="006A763B"/>
    <w:rsid w:val="006A799C"/>
    <w:rsid w:val="006A7AFF"/>
    <w:rsid w:val="006B13E6"/>
    <w:rsid w:val="006B1816"/>
    <w:rsid w:val="006B1831"/>
    <w:rsid w:val="006B1E8B"/>
    <w:rsid w:val="006B2099"/>
    <w:rsid w:val="006B2689"/>
    <w:rsid w:val="006B30E1"/>
    <w:rsid w:val="006B3CBD"/>
    <w:rsid w:val="006B4F94"/>
    <w:rsid w:val="006B50CF"/>
    <w:rsid w:val="006B5FEB"/>
    <w:rsid w:val="006B657F"/>
    <w:rsid w:val="006B665F"/>
    <w:rsid w:val="006B6E6B"/>
    <w:rsid w:val="006B7B70"/>
    <w:rsid w:val="006C03B8"/>
    <w:rsid w:val="006C16E6"/>
    <w:rsid w:val="006C3004"/>
    <w:rsid w:val="006C3433"/>
    <w:rsid w:val="006C370B"/>
    <w:rsid w:val="006C3D8C"/>
    <w:rsid w:val="006C5EC9"/>
    <w:rsid w:val="006C6059"/>
    <w:rsid w:val="006C653F"/>
    <w:rsid w:val="006C7522"/>
    <w:rsid w:val="006C76FB"/>
    <w:rsid w:val="006C7CF1"/>
    <w:rsid w:val="006D0BCC"/>
    <w:rsid w:val="006D166B"/>
    <w:rsid w:val="006D2952"/>
    <w:rsid w:val="006D2F99"/>
    <w:rsid w:val="006D3D12"/>
    <w:rsid w:val="006D5688"/>
    <w:rsid w:val="006D653C"/>
    <w:rsid w:val="006D6F08"/>
    <w:rsid w:val="006D73D6"/>
    <w:rsid w:val="006E05EA"/>
    <w:rsid w:val="006E062C"/>
    <w:rsid w:val="006E06F4"/>
    <w:rsid w:val="006E07BD"/>
    <w:rsid w:val="006E1154"/>
    <w:rsid w:val="006E154E"/>
    <w:rsid w:val="006E1C82"/>
    <w:rsid w:val="006E1F5A"/>
    <w:rsid w:val="006E2245"/>
    <w:rsid w:val="006E262D"/>
    <w:rsid w:val="006E28B7"/>
    <w:rsid w:val="006E2A9B"/>
    <w:rsid w:val="006E3310"/>
    <w:rsid w:val="006E38B6"/>
    <w:rsid w:val="006E3C3D"/>
    <w:rsid w:val="006E40CF"/>
    <w:rsid w:val="006E4E39"/>
    <w:rsid w:val="006E4FD0"/>
    <w:rsid w:val="006E565E"/>
    <w:rsid w:val="006E5835"/>
    <w:rsid w:val="006E673D"/>
    <w:rsid w:val="006E6FB4"/>
    <w:rsid w:val="006E746F"/>
    <w:rsid w:val="006E7B43"/>
    <w:rsid w:val="006E7D3B"/>
    <w:rsid w:val="006E7F40"/>
    <w:rsid w:val="006F0370"/>
    <w:rsid w:val="006F039E"/>
    <w:rsid w:val="006F14A7"/>
    <w:rsid w:val="006F1A28"/>
    <w:rsid w:val="006F1B70"/>
    <w:rsid w:val="006F21D4"/>
    <w:rsid w:val="006F3115"/>
    <w:rsid w:val="006F33DA"/>
    <w:rsid w:val="006F341D"/>
    <w:rsid w:val="006F3B67"/>
    <w:rsid w:val="006F3CDE"/>
    <w:rsid w:val="006F4034"/>
    <w:rsid w:val="006F499C"/>
    <w:rsid w:val="006F4BE4"/>
    <w:rsid w:val="006F4CD1"/>
    <w:rsid w:val="006F5014"/>
    <w:rsid w:val="006F545D"/>
    <w:rsid w:val="006F557B"/>
    <w:rsid w:val="006F58D4"/>
    <w:rsid w:val="006F604B"/>
    <w:rsid w:val="006F64B0"/>
    <w:rsid w:val="006F6582"/>
    <w:rsid w:val="006F753D"/>
    <w:rsid w:val="006F797A"/>
    <w:rsid w:val="00701B5E"/>
    <w:rsid w:val="00702ABB"/>
    <w:rsid w:val="00703063"/>
    <w:rsid w:val="0070346E"/>
    <w:rsid w:val="00704EDB"/>
    <w:rsid w:val="007054CB"/>
    <w:rsid w:val="0070560F"/>
    <w:rsid w:val="0070573B"/>
    <w:rsid w:val="00705D45"/>
    <w:rsid w:val="00706101"/>
    <w:rsid w:val="00706210"/>
    <w:rsid w:val="0070631F"/>
    <w:rsid w:val="0070672B"/>
    <w:rsid w:val="00706BC5"/>
    <w:rsid w:val="00707072"/>
    <w:rsid w:val="00707884"/>
    <w:rsid w:val="00707939"/>
    <w:rsid w:val="00707D61"/>
    <w:rsid w:val="00712287"/>
    <w:rsid w:val="007125A2"/>
    <w:rsid w:val="00712772"/>
    <w:rsid w:val="007130B2"/>
    <w:rsid w:val="00713827"/>
    <w:rsid w:val="00713D75"/>
    <w:rsid w:val="00713DDD"/>
    <w:rsid w:val="00713E11"/>
    <w:rsid w:val="007148D3"/>
    <w:rsid w:val="00714BDC"/>
    <w:rsid w:val="00715B9A"/>
    <w:rsid w:val="00716268"/>
    <w:rsid w:val="00716325"/>
    <w:rsid w:val="007167FB"/>
    <w:rsid w:val="0071788B"/>
    <w:rsid w:val="00717A96"/>
    <w:rsid w:val="00717CF5"/>
    <w:rsid w:val="00721B32"/>
    <w:rsid w:val="00721C8B"/>
    <w:rsid w:val="0072270A"/>
    <w:rsid w:val="00723193"/>
    <w:rsid w:val="00723438"/>
    <w:rsid w:val="007243AE"/>
    <w:rsid w:val="007251BC"/>
    <w:rsid w:val="007257B9"/>
    <w:rsid w:val="007257D0"/>
    <w:rsid w:val="00725C18"/>
    <w:rsid w:val="00726202"/>
    <w:rsid w:val="00726EA6"/>
    <w:rsid w:val="00727208"/>
    <w:rsid w:val="00727680"/>
    <w:rsid w:val="007277E0"/>
    <w:rsid w:val="007279B1"/>
    <w:rsid w:val="007301E2"/>
    <w:rsid w:val="00731090"/>
    <w:rsid w:val="00731307"/>
    <w:rsid w:val="00731546"/>
    <w:rsid w:val="0073164B"/>
    <w:rsid w:val="00731F28"/>
    <w:rsid w:val="00732A45"/>
    <w:rsid w:val="00732AC1"/>
    <w:rsid w:val="00733E45"/>
    <w:rsid w:val="007348B1"/>
    <w:rsid w:val="00734F62"/>
    <w:rsid w:val="0073554E"/>
    <w:rsid w:val="007362A6"/>
    <w:rsid w:val="00736D7D"/>
    <w:rsid w:val="00740E58"/>
    <w:rsid w:val="007415DB"/>
    <w:rsid w:val="00742520"/>
    <w:rsid w:val="007431DE"/>
    <w:rsid w:val="007445A0"/>
    <w:rsid w:val="007450AA"/>
    <w:rsid w:val="0074524B"/>
    <w:rsid w:val="007454DE"/>
    <w:rsid w:val="00745576"/>
    <w:rsid w:val="007470AA"/>
    <w:rsid w:val="007473FF"/>
    <w:rsid w:val="00747D8B"/>
    <w:rsid w:val="00751228"/>
    <w:rsid w:val="007516F4"/>
    <w:rsid w:val="00754CA3"/>
    <w:rsid w:val="00755EEB"/>
    <w:rsid w:val="0075623F"/>
    <w:rsid w:val="00756E07"/>
    <w:rsid w:val="007571E1"/>
    <w:rsid w:val="007578F0"/>
    <w:rsid w:val="007603B2"/>
    <w:rsid w:val="007604B2"/>
    <w:rsid w:val="007605B7"/>
    <w:rsid w:val="00762306"/>
    <w:rsid w:val="007623DB"/>
    <w:rsid w:val="00762A16"/>
    <w:rsid w:val="00762DBE"/>
    <w:rsid w:val="0076366B"/>
    <w:rsid w:val="00763A68"/>
    <w:rsid w:val="00765281"/>
    <w:rsid w:val="00765474"/>
    <w:rsid w:val="007657F2"/>
    <w:rsid w:val="00766BAD"/>
    <w:rsid w:val="007715B0"/>
    <w:rsid w:val="0077270F"/>
    <w:rsid w:val="007729A2"/>
    <w:rsid w:val="00772FA2"/>
    <w:rsid w:val="007755F2"/>
    <w:rsid w:val="007757D2"/>
    <w:rsid w:val="00776402"/>
    <w:rsid w:val="00776971"/>
    <w:rsid w:val="00776EDE"/>
    <w:rsid w:val="00780A80"/>
    <w:rsid w:val="00781223"/>
    <w:rsid w:val="00781378"/>
    <w:rsid w:val="007813F4"/>
    <w:rsid w:val="0078177E"/>
    <w:rsid w:val="0078304C"/>
    <w:rsid w:val="00783673"/>
    <w:rsid w:val="00783DA0"/>
    <w:rsid w:val="007848E3"/>
    <w:rsid w:val="0078520B"/>
    <w:rsid w:val="00785396"/>
    <w:rsid w:val="00785490"/>
    <w:rsid w:val="00785B87"/>
    <w:rsid w:val="007865EE"/>
    <w:rsid w:val="00786E58"/>
    <w:rsid w:val="00786EC3"/>
    <w:rsid w:val="007873D7"/>
    <w:rsid w:val="00790514"/>
    <w:rsid w:val="00790974"/>
    <w:rsid w:val="007917F1"/>
    <w:rsid w:val="007919D9"/>
    <w:rsid w:val="0079242E"/>
    <w:rsid w:val="007925EA"/>
    <w:rsid w:val="00792AEC"/>
    <w:rsid w:val="00793CD8"/>
    <w:rsid w:val="00794564"/>
    <w:rsid w:val="00794C4B"/>
    <w:rsid w:val="007951F4"/>
    <w:rsid w:val="00795C92"/>
    <w:rsid w:val="0079609F"/>
    <w:rsid w:val="00796231"/>
    <w:rsid w:val="007A1231"/>
    <w:rsid w:val="007A17D9"/>
    <w:rsid w:val="007A1CB3"/>
    <w:rsid w:val="007A1F6C"/>
    <w:rsid w:val="007A25BC"/>
    <w:rsid w:val="007A2C0F"/>
    <w:rsid w:val="007A306F"/>
    <w:rsid w:val="007A3D09"/>
    <w:rsid w:val="007A40C0"/>
    <w:rsid w:val="007A42B9"/>
    <w:rsid w:val="007A43A6"/>
    <w:rsid w:val="007A44B6"/>
    <w:rsid w:val="007A471B"/>
    <w:rsid w:val="007A58A6"/>
    <w:rsid w:val="007A5C52"/>
    <w:rsid w:val="007A62DD"/>
    <w:rsid w:val="007A66A4"/>
    <w:rsid w:val="007A6A9B"/>
    <w:rsid w:val="007A751B"/>
    <w:rsid w:val="007B3235"/>
    <w:rsid w:val="007B3399"/>
    <w:rsid w:val="007B37FA"/>
    <w:rsid w:val="007B3D2D"/>
    <w:rsid w:val="007B50AE"/>
    <w:rsid w:val="007B51DF"/>
    <w:rsid w:val="007B6AF0"/>
    <w:rsid w:val="007B7077"/>
    <w:rsid w:val="007C03B9"/>
    <w:rsid w:val="007C05DD"/>
    <w:rsid w:val="007C21C3"/>
    <w:rsid w:val="007C2B9C"/>
    <w:rsid w:val="007C3D18"/>
    <w:rsid w:val="007C41E7"/>
    <w:rsid w:val="007C4F21"/>
    <w:rsid w:val="007C58C2"/>
    <w:rsid w:val="007C60BF"/>
    <w:rsid w:val="007C616E"/>
    <w:rsid w:val="007C6A07"/>
    <w:rsid w:val="007C6CC5"/>
    <w:rsid w:val="007C6DA6"/>
    <w:rsid w:val="007C6E5D"/>
    <w:rsid w:val="007C75A1"/>
    <w:rsid w:val="007C77A5"/>
    <w:rsid w:val="007C7DE3"/>
    <w:rsid w:val="007D00F2"/>
    <w:rsid w:val="007D04E5"/>
    <w:rsid w:val="007D0B13"/>
    <w:rsid w:val="007D0F87"/>
    <w:rsid w:val="007D1428"/>
    <w:rsid w:val="007D2EF9"/>
    <w:rsid w:val="007D43C5"/>
    <w:rsid w:val="007D4BA3"/>
    <w:rsid w:val="007D5901"/>
    <w:rsid w:val="007D5AB3"/>
    <w:rsid w:val="007D5C0A"/>
    <w:rsid w:val="007D5F8D"/>
    <w:rsid w:val="007D63E2"/>
    <w:rsid w:val="007D746F"/>
    <w:rsid w:val="007D7526"/>
    <w:rsid w:val="007E0640"/>
    <w:rsid w:val="007E0E8C"/>
    <w:rsid w:val="007E162F"/>
    <w:rsid w:val="007E1845"/>
    <w:rsid w:val="007E3BB9"/>
    <w:rsid w:val="007E4610"/>
    <w:rsid w:val="007E4715"/>
    <w:rsid w:val="007E505B"/>
    <w:rsid w:val="007E62B2"/>
    <w:rsid w:val="007E7091"/>
    <w:rsid w:val="007E71A4"/>
    <w:rsid w:val="007E7DE5"/>
    <w:rsid w:val="007F044C"/>
    <w:rsid w:val="007F0752"/>
    <w:rsid w:val="007F3437"/>
    <w:rsid w:val="007F3700"/>
    <w:rsid w:val="007F39DE"/>
    <w:rsid w:val="007F4616"/>
    <w:rsid w:val="007F5E5E"/>
    <w:rsid w:val="007F6C8E"/>
    <w:rsid w:val="007F757E"/>
    <w:rsid w:val="007F78B4"/>
    <w:rsid w:val="007F7968"/>
    <w:rsid w:val="00800C45"/>
    <w:rsid w:val="0080137F"/>
    <w:rsid w:val="00801976"/>
    <w:rsid w:val="00801D41"/>
    <w:rsid w:val="00802CAB"/>
    <w:rsid w:val="00803120"/>
    <w:rsid w:val="0080379E"/>
    <w:rsid w:val="00803FAE"/>
    <w:rsid w:val="00804B74"/>
    <w:rsid w:val="00805740"/>
    <w:rsid w:val="0080605F"/>
    <w:rsid w:val="0080693B"/>
    <w:rsid w:val="00806C0A"/>
    <w:rsid w:val="00807786"/>
    <w:rsid w:val="008079BA"/>
    <w:rsid w:val="008079C7"/>
    <w:rsid w:val="00807A55"/>
    <w:rsid w:val="00810258"/>
    <w:rsid w:val="00811FCB"/>
    <w:rsid w:val="00812965"/>
    <w:rsid w:val="0081395D"/>
    <w:rsid w:val="00814345"/>
    <w:rsid w:val="008145B4"/>
    <w:rsid w:val="00814BCB"/>
    <w:rsid w:val="00814CA8"/>
    <w:rsid w:val="00815184"/>
    <w:rsid w:val="0081567C"/>
    <w:rsid w:val="008158D6"/>
    <w:rsid w:val="00815F66"/>
    <w:rsid w:val="00816596"/>
    <w:rsid w:val="00817196"/>
    <w:rsid w:val="00817EC9"/>
    <w:rsid w:val="008219D7"/>
    <w:rsid w:val="00822372"/>
    <w:rsid w:val="00822663"/>
    <w:rsid w:val="00822A70"/>
    <w:rsid w:val="008235DB"/>
    <w:rsid w:val="00824AB4"/>
    <w:rsid w:val="00825C42"/>
    <w:rsid w:val="00825D25"/>
    <w:rsid w:val="00825D8A"/>
    <w:rsid w:val="00826C7F"/>
    <w:rsid w:val="008271F2"/>
    <w:rsid w:val="00827D6F"/>
    <w:rsid w:val="00830A76"/>
    <w:rsid w:val="008314C4"/>
    <w:rsid w:val="00831533"/>
    <w:rsid w:val="00831E1D"/>
    <w:rsid w:val="008320FD"/>
    <w:rsid w:val="00833339"/>
    <w:rsid w:val="00833552"/>
    <w:rsid w:val="008376AC"/>
    <w:rsid w:val="00837DE1"/>
    <w:rsid w:val="00837FEE"/>
    <w:rsid w:val="00840982"/>
    <w:rsid w:val="00840F5A"/>
    <w:rsid w:val="008420EC"/>
    <w:rsid w:val="0084266C"/>
    <w:rsid w:val="00842988"/>
    <w:rsid w:val="008433D1"/>
    <w:rsid w:val="00843FF7"/>
    <w:rsid w:val="008444E8"/>
    <w:rsid w:val="00844E80"/>
    <w:rsid w:val="00845AEA"/>
    <w:rsid w:val="0084648D"/>
    <w:rsid w:val="00846FE7"/>
    <w:rsid w:val="00847539"/>
    <w:rsid w:val="00850033"/>
    <w:rsid w:val="00850F76"/>
    <w:rsid w:val="008514FE"/>
    <w:rsid w:val="00851B28"/>
    <w:rsid w:val="00853447"/>
    <w:rsid w:val="0085349E"/>
    <w:rsid w:val="00853D10"/>
    <w:rsid w:val="008547E0"/>
    <w:rsid w:val="00855624"/>
    <w:rsid w:val="00856380"/>
    <w:rsid w:val="008568C4"/>
    <w:rsid w:val="00856911"/>
    <w:rsid w:val="008569A9"/>
    <w:rsid w:val="00856CCB"/>
    <w:rsid w:val="0085702A"/>
    <w:rsid w:val="00857203"/>
    <w:rsid w:val="008574C9"/>
    <w:rsid w:val="0086193D"/>
    <w:rsid w:val="00862405"/>
    <w:rsid w:val="00862762"/>
    <w:rsid w:val="00864692"/>
    <w:rsid w:val="00865437"/>
    <w:rsid w:val="00865812"/>
    <w:rsid w:val="008658BA"/>
    <w:rsid w:val="00865E3E"/>
    <w:rsid w:val="0086648E"/>
    <w:rsid w:val="008674E4"/>
    <w:rsid w:val="008677FD"/>
    <w:rsid w:val="00867849"/>
    <w:rsid w:val="008706D4"/>
    <w:rsid w:val="00870F8A"/>
    <w:rsid w:val="008719A4"/>
    <w:rsid w:val="00871D23"/>
    <w:rsid w:val="00871F40"/>
    <w:rsid w:val="00872697"/>
    <w:rsid w:val="0087288D"/>
    <w:rsid w:val="00874312"/>
    <w:rsid w:val="0087437C"/>
    <w:rsid w:val="00875CD7"/>
    <w:rsid w:val="00876096"/>
    <w:rsid w:val="0087677E"/>
    <w:rsid w:val="00876885"/>
    <w:rsid w:val="00876B4D"/>
    <w:rsid w:val="00877E29"/>
    <w:rsid w:val="00877F18"/>
    <w:rsid w:val="0088059D"/>
    <w:rsid w:val="008809CC"/>
    <w:rsid w:val="00880F6F"/>
    <w:rsid w:val="00882606"/>
    <w:rsid w:val="0088380F"/>
    <w:rsid w:val="00883BAA"/>
    <w:rsid w:val="00884346"/>
    <w:rsid w:val="00885931"/>
    <w:rsid w:val="00885C74"/>
    <w:rsid w:val="00885CCD"/>
    <w:rsid w:val="008869D5"/>
    <w:rsid w:val="00887D9C"/>
    <w:rsid w:val="008914EE"/>
    <w:rsid w:val="0089227F"/>
    <w:rsid w:val="0089248E"/>
    <w:rsid w:val="00893903"/>
    <w:rsid w:val="008941E3"/>
    <w:rsid w:val="00894A88"/>
    <w:rsid w:val="00895386"/>
    <w:rsid w:val="0089665C"/>
    <w:rsid w:val="008A0629"/>
    <w:rsid w:val="008A0B30"/>
    <w:rsid w:val="008A18A6"/>
    <w:rsid w:val="008A21FF"/>
    <w:rsid w:val="008A2659"/>
    <w:rsid w:val="008A2CE2"/>
    <w:rsid w:val="008A30AC"/>
    <w:rsid w:val="008A44B8"/>
    <w:rsid w:val="008A51A8"/>
    <w:rsid w:val="008A54C7"/>
    <w:rsid w:val="008A5D08"/>
    <w:rsid w:val="008A5E99"/>
    <w:rsid w:val="008A77D8"/>
    <w:rsid w:val="008B0010"/>
    <w:rsid w:val="008B0483"/>
    <w:rsid w:val="008B06D9"/>
    <w:rsid w:val="008B0B11"/>
    <w:rsid w:val="008B120C"/>
    <w:rsid w:val="008B1D81"/>
    <w:rsid w:val="008B1DD6"/>
    <w:rsid w:val="008B2258"/>
    <w:rsid w:val="008B308E"/>
    <w:rsid w:val="008B42F8"/>
    <w:rsid w:val="008B51A0"/>
    <w:rsid w:val="008B549F"/>
    <w:rsid w:val="008B5673"/>
    <w:rsid w:val="008B592A"/>
    <w:rsid w:val="008B5B56"/>
    <w:rsid w:val="008B5F45"/>
    <w:rsid w:val="008B6548"/>
    <w:rsid w:val="008B7B5C"/>
    <w:rsid w:val="008C0922"/>
    <w:rsid w:val="008C0B0F"/>
    <w:rsid w:val="008C0C99"/>
    <w:rsid w:val="008C17B7"/>
    <w:rsid w:val="008C2017"/>
    <w:rsid w:val="008C3E68"/>
    <w:rsid w:val="008C4958"/>
    <w:rsid w:val="008C4BAA"/>
    <w:rsid w:val="008C5809"/>
    <w:rsid w:val="008C6054"/>
    <w:rsid w:val="008C6AE8"/>
    <w:rsid w:val="008C7573"/>
    <w:rsid w:val="008D00A5"/>
    <w:rsid w:val="008D0E21"/>
    <w:rsid w:val="008D1397"/>
    <w:rsid w:val="008D147A"/>
    <w:rsid w:val="008D20DB"/>
    <w:rsid w:val="008D3396"/>
    <w:rsid w:val="008D34F1"/>
    <w:rsid w:val="008D370E"/>
    <w:rsid w:val="008D39D8"/>
    <w:rsid w:val="008D46EC"/>
    <w:rsid w:val="008D4859"/>
    <w:rsid w:val="008D644C"/>
    <w:rsid w:val="008D6D17"/>
    <w:rsid w:val="008D6D1A"/>
    <w:rsid w:val="008E065E"/>
    <w:rsid w:val="008E0927"/>
    <w:rsid w:val="008E0E27"/>
    <w:rsid w:val="008E13AD"/>
    <w:rsid w:val="008E142C"/>
    <w:rsid w:val="008E158D"/>
    <w:rsid w:val="008E1909"/>
    <w:rsid w:val="008E2BFB"/>
    <w:rsid w:val="008E2C9B"/>
    <w:rsid w:val="008E3D19"/>
    <w:rsid w:val="008E424C"/>
    <w:rsid w:val="008E4C01"/>
    <w:rsid w:val="008E5189"/>
    <w:rsid w:val="008E5C4C"/>
    <w:rsid w:val="008E621F"/>
    <w:rsid w:val="008E72B3"/>
    <w:rsid w:val="008F0078"/>
    <w:rsid w:val="008F00E2"/>
    <w:rsid w:val="008F0F7B"/>
    <w:rsid w:val="008F1B2C"/>
    <w:rsid w:val="008F1C4E"/>
    <w:rsid w:val="008F1C70"/>
    <w:rsid w:val="008F1EAB"/>
    <w:rsid w:val="008F1F8C"/>
    <w:rsid w:val="008F328C"/>
    <w:rsid w:val="008F33DC"/>
    <w:rsid w:val="008F477F"/>
    <w:rsid w:val="008F4D4A"/>
    <w:rsid w:val="008F5544"/>
    <w:rsid w:val="008F58C8"/>
    <w:rsid w:val="008F5D6B"/>
    <w:rsid w:val="008F6CE9"/>
    <w:rsid w:val="008F7059"/>
    <w:rsid w:val="008F743D"/>
    <w:rsid w:val="008F76EB"/>
    <w:rsid w:val="009010AA"/>
    <w:rsid w:val="00902350"/>
    <w:rsid w:val="00902747"/>
    <w:rsid w:val="0090336B"/>
    <w:rsid w:val="00903674"/>
    <w:rsid w:val="00904C37"/>
    <w:rsid w:val="00904C9D"/>
    <w:rsid w:val="00904FA9"/>
    <w:rsid w:val="009053AA"/>
    <w:rsid w:val="009067D4"/>
    <w:rsid w:val="00906939"/>
    <w:rsid w:val="00906EDB"/>
    <w:rsid w:val="00906F83"/>
    <w:rsid w:val="0090776E"/>
    <w:rsid w:val="00907788"/>
    <w:rsid w:val="00910B7D"/>
    <w:rsid w:val="009113AB"/>
    <w:rsid w:val="00911A12"/>
    <w:rsid w:val="00911CCC"/>
    <w:rsid w:val="00911DFB"/>
    <w:rsid w:val="0091283F"/>
    <w:rsid w:val="00913319"/>
    <w:rsid w:val="009139D9"/>
    <w:rsid w:val="00914AD8"/>
    <w:rsid w:val="00916079"/>
    <w:rsid w:val="00917CE9"/>
    <w:rsid w:val="0092075B"/>
    <w:rsid w:val="00920BF2"/>
    <w:rsid w:val="00922010"/>
    <w:rsid w:val="0092480E"/>
    <w:rsid w:val="00924EE8"/>
    <w:rsid w:val="009258B8"/>
    <w:rsid w:val="00925A63"/>
    <w:rsid w:val="00925E1A"/>
    <w:rsid w:val="00925F22"/>
    <w:rsid w:val="009270C0"/>
    <w:rsid w:val="00931323"/>
    <w:rsid w:val="00931AC1"/>
    <w:rsid w:val="00931BD9"/>
    <w:rsid w:val="00931F9A"/>
    <w:rsid w:val="00932835"/>
    <w:rsid w:val="00933238"/>
    <w:rsid w:val="00933A0A"/>
    <w:rsid w:val="00933EDA"/>
    <w:rsid w:val="0093455B"/>
    <w:rsid w:val="00934831"/>
    <w:rsid w:val="0093488E"/>
    <w:rsid w:val="0093630A"/>
    <w:rsid w:val="009367FB"/>
    <w:rsid w:val="009368F3"/>
    <w:rsid w:val="009370B9"/>
    <w:rsid w:val="00940399"/>
    <w:rsid w:val="00941636"/>
    <w:rsid w:val="0094168B"/>
    <w:rsid w:val="00941A8E"/>
    <w:rsid w:val="00942C3B"/>
    <w:rsid w:val="00943742"/>
    <w:rsid w:val="009453A7"/>
    <w:rsid w:val="0094559D"/>
    <w:rsid w:val="00945C05"/>
    <w:rsid w:val="00946945"/>
    <w:rsid w:val="00946D0C"/>
    <w:rsid w:val="00947713"/>
    <w:rsid w:val="00950304"/>
    <w:rsid w:val="00950C5C"/>
    <w:rsid w:val="00950D5A"/>
    <w:rsid w:val="00950DE7"/>
    <w:rsid w:val="0095199D"/>
    <w:rsid w:val="009538C0"/>
    <w:rsid w:val="00953920"/>
    <w:rsid w:val="00953D47"/>
    <w:rsid w:val="00955D96"/>
    <w:rsid w:val="00955EBC"/>
    <w:rsid w:val="0095681E"/>
    <w:rsid w:val="00957098"/>
    <w:rsid w:val="009572D4"/>
    <w:rsid w:val="009607CA"/>
    <w:rsid w:val="00961921"/>
    <w:rsid w:val="00961C54"/>
    <w:rsid w:val="009630AB"/>
    <w:rsid w:val="0096430A"/>
    <w:rsid w:val="0096435E"/>
    <w:rsid w:val="00964C0D"/>
    <w:rsid w:val="0096554B"/>
    <w:rsid w:val="009655A6"/>
    <w:rsid w:val="0096584A"/>
    <w:rsid w:val="00965F02"/>
    <w:rsid w:val="00966A1F"/>
    <w:rsid w:val="009672DE"/>
    <w:rsid w:val="00967755"/>
    <w:rsid w:val="00971596"/>
    <w:rsid w:val="00971F08"/>
    <w:rsid w:val="009730A8"/>
    <w:rsid w:val="009731EC"/>
    <w:rsid w:val="0097540C"/>
    <w:rsid w:val="00975F9B"/>
    <w:rsid w:val="0097603D"/>
    <w:rsid w:val="009768AD"/>
    <w:rsid w:val="00976949"/>
    <w:rsid w:val="00976D3D"/>
    <w:rsid w:val="00977AA4"/>
    <w:rsid w:val="00980249"/>
    <w:rsid w:val="00980477"/>
    <w:rsid w:val="00980C15"/>
    <w:rsid w:val="00980F17"/>
    <w:rsid w:val="00982641"/>
    <w:rsid w:val="00982C59"/>
    <w:rsid w:val="00983504"/>
    <w:rsid w:val="00983C1E"/>
    <w:rsid w:val="009840A7"/>
    <w:rsid w:val="00984DD0"/>
    <w:rsid w:val="0098513D"/>
    <w:rsid w:val="00985253"/>
    <w:rsid w:val="009853B3"/>
    <w:rsid w:val="009867B5"/>
    <w:rsid w:val="00986F9B"/>
    <w:rsid w:val="0098786A"/>
    <w:rsid w:val="009901F3"/>
    <w:rsid w:val="00990630"/>
    <w:rsid w:val="00990807"/>
    <w:rsid w:val="00990CC1"/>
    <w:rsid w:val="00991761"/>
    <w:rsid w:val="00991B96"/>
    <w:rsid w:val="009920C2"/>
    <w:rsid w:val="009922D3"/>
    <w:rsid w:val="0099312B"/>
    <w:rsid w:val="00993862"/>
    <w:rsid w:val="00994143"/>
    <w:rsid w:val="00994A08"/>
    <w:rsid w:val="00994BD8"/>
    <w:rsid w:val="00994DCA"/>
    <w:rsid w:val="009960EC"/>
    <w:rsid w:val="00996CDA"/>
    <w:rsid w:val="009970DD"/>
    <w:rsid w:val="00997F92"/>
    <w:rsid w:val="009A007B"/>
    <w:rsid w:val="009A0569"/>
    <w:rsid w:val="009A0FBA"/>
    <w:rsid w:val="009A1601"/>
    <w:rsid w:val="009A2725"/>
    <w:rsid w:val="009A2B38"/>
    <w:rsid w:val="009A3521"/>
    <w:rsid w:val="009A3BB6"/>
    <w:rsid w:val="009A3C21"/>
    <w:rsid w:val="009A3D07"/>
    <w:rsid w:val="009A3FA0"/>
    <w:rsid w:val="009A462D"/>
    <w:rsid w:val="009A46F0"/>
    <w:rsid w:val="009A4917"/>
    <w:rsid w:val="009A4AF1"/>
    <w:rsid w:val="009A4E06"/>
    <w:rsid w:val="009A53E2"/>
    <w:rsid w:val="009A5CBA"/>
    <w:rsid w:val="009A6063"/>
    <w:rsid w:val="009A655F"/>
    <w:rsid w:val="009B05FA"/>
    <w:rsid w:val="009B10F7"/>
    <w:rsid w:val="009B175F"/>
    <w:rsid w:val="009B1F30"/>
    <w:rsid w:val="009B23BE"/>
    <w:rsid w:val="009B240B"/>
    <w:rsid w:val="009B27E2"/>
    <w:rsid w:val="009B2D72"/>
    <w:rsid w:val="009B38F1"/>
    <w:rsid w:val="009B3AC2"/>
    <w:rsid w:val="009B4DF4"/>
    <w:rsid w:val="009B4EDD"/>
    <w:rsid w:val="009B5245"/>
    <w:rsid w:val="009B5258"/>
    <w:rsid w:val="009B564E"/>
    <w:rsid w:val="009B5EAA"/>
    <w:rsid w:val="009B612B"/>
    <w:rsid w:val="009B7E87"/>
    <w:rsid w:val="009C0169"/>
    <w:rsid w:val="009C091A"/>
    <w:rsid w:val="009C1990"/>
    <w:rsid w:val="009C2553"/>
    <w:rsid w:val="009C403E"/>
    <w:rsid w:val="009C429E"/>
    <w:rsid w:val="009C54D2"/>
    <w:rsid w:val="009C56BB"/>
    <w:rsid w:val="009C593A"/>
    <w:rsid w:val="009C59CF"/>
    <w:rsid w:val="009C69B8"/>
    <w:rsid w:val="009C7398"/>
    <w:rsid w:val="009C7EC8"/>
    <w:rsid w:val="009D0115"/>
    <w:rsid w:val="009D0635"/>
    <w:rsid w:val="009D139F"/>
    <w:rsid w:val="009D1639"/>
    <w:rsid w:val="009D1AA3"/>
    <w:rsid w:val="009D1D7C"/>
    <w:rsid w:val="009D200F"/>
    <w:rsid w:val="009D2948"/>
    <w:rsid w:val="009D35DD"/>
    <w:rsid w:val="009D38DF"/>
    <w:rsid w:val="009D4FF0"/>
    <w:rsid w:val="009D538C"/>
    <w:rsid w:val="009D6380"/>
    <w:rsid w:val="009D677C"/>
    <w:rsid w:val="009D703C"/>
    <w:rsid w:val="009D718F"/>
    <w:rsid w:val="009E00BF"/>
    <w:rsid w:val="009E068F"/>
    <w:rsid w:val="009E14E0"/>
    <w:rsid w:val="009E14FC"/>
    <w:rsid w:val="009E26DC"/>
    <w:rsid w:val="009E35DB"/>
    <w:rsid w:val="009E45CC"/>
    <w:rsid w:val="009E47A3"/>
    <w:rsid w:val="009E5196"/>
    <w:rsid w:val="009E5726"/>
    <w:rsid w:val="009E6213"/>
    <w:rsid w:val="009E622F"/>
    <w:rsid w:val="009E6C3F"/>
    <w:rsid w:val="009E72D3"/>
    <w:rsid w:val="009E7525"/>
    <w:rsid w:val="009E7705"/>
    <w:rsid w:val="009F0690"/>
    <w:rsid w:val="009F08F3"/>
    <w:rsid w:val="009F1BF4"/>
    <w:rsid w:val="009F1F9E"/>
    <w:rsid w:val="009F344F"/>
    <w:rsid w:val="009F4403"/>
    <w:rsid w:val="009F6A6F"/>
    <w:rsid w:val="009F6B31"/>
    <w:rsid w:val="009F71C0"/>
    <w:rsid w:val="009F7A3C"/>
    <w:rsid w:val="00A003D0"/>
    <w:rsid w:val="00A00996"/>
    <w:rsid w:val="00A02887"/>
    <w:rsid w:val="00A031D8"/>
    <w:rsid w:val="00A04323"/>
    <w:rsid w:val="00A048A8"/>
    <w:rsid w:val="00A04F49"/>
    <w:rsid w:val="00A05503"/>
    <w:rsid w:val="00A0569C"/>
    <w:rsid w:val="00A05CF7"/>
    <w:rsid w:val="00A060F4"/>
    <w:rsid w:val="00A07222"/>
    <w:rsid w:val="00A104FA"/>
    <w:rsid w:val="00A10E10"/>
    <w:rsid w:val="00A1278C"/>
    <w:rsid w:val="00A12FDD"/>
    <w:rsid w:val="00A13BE0"/>
    <w:rsid w:val="00A13E54"/>
    <w:rsid w:val="00A14EA5"/>
    <w:rsid w:val="00A1500E"/>
    <w:rsid w:val="00A150B4"/>
    <w:rsid w:val="00A150D3"/>
    <w:rsid w:val="00A159A7"/>
    <w:rsid w:val="00A1617F"/>
    <w:rsid w:val="00A1692D"/>
    <w:rsid w:val="00A16D4B"/>
    <w:rsid w:val="00A17B96"/>
    <w:rsid w:val="00A17F63"/>
    <w:rsid w:val="00A20CEC"/>
    <w:rsid w:val="00A2193B"/>
    <w:rsid w:val="00A21E4D"/>
    <w:rsid w:val="00A230FC"/>
    <w:rsid w:val="00A2351A"/>
    <w:rsid w:val="00A241B7"/>
    <w:rsid w:val="00A25E1F"/>
    <w:rsid w:val="00A264A9"/>
    <w:rsid w:val="00A26DCF"/>
    <w:rsid w:val="00A27785"/>
    <w:rsid w:val="00A30187"/>
    <w:rsid w:val="00A31DF8"/>
    <w:rsid w:val="00A33E8D"/>
    <w:rsid w:val="00A33F35"/>
    <w:rsid w:val="00A3448A"/>
    <w:rsid w:val="00A34744"/>
    <w:rsid w:val="00A3591A"/>
    <w:rsid w:val="00A36297"/>
    <w:rsid w:val="00A37047"/>
    <w:rsid w:val="00A3729D"/>
    <w:rsid w:val="00A37EC4"/>
    <w:rsid w:val="00A40253"/>
    <w:rsid w:val="00A406CA"/>
    <w:rsid w:val="00A40A01"/>
    <w:rsid w:val="00A40A2B"/>
    <w:rsid w:val="00A40CD7"/>
    <w:rsid w:val="00A41E04"/>
    <w:rsid w:val="00A41E2B"/>
    <w:rsid w:val="00A42C16"/>
    <w:rsid w:val="00A43830"/>
    <w:rsid w:val="00A438B4"/>
    <w:rsid w:val="00A44389"/>
    <w:rsid w:val="00A4444B"/>
    <w:rsid w:val="00A4591D"/>
    <w:rsid w:val="00A45B74"/>
    <w:rsid w:val="00A46CB0"/>
    <w:rsid w:val="00A46F5D"/>
    <w:rsid w:val="00A47AB3"/>
    <w:rsid w:val="00A50690"/>
    <w:rsid w:val="00A528BC"/>
    <w:rsid w:val="00A52E1D"/>
    <w:rsid w:val="00A5340F"/>
    <w:rsid w:val="00A53BB0"/>
    <w:rsid w:val="00A53F69"/>
    <w:rsid w:val="00A5452E"/>
    <w:rsid w:val="00A556E6"/>
    <w:rsid w:val="00A5631F"/>
    <w:rsid w:val="00A60430"/>
    <w:rsid w:val="00A6052C"/>
    <w:rsid w:val="00A61499"/>
    <w:rsid w:val="00A62423"/>
    <w:rsid w:val="00A62A77"/>
    <w:rsid w:val="00A63483"/>
    <w:rsid w:val="00A64D2D"/>
    <w:rsid w:val="00A655FF"/>
    <w:rsid w:val="00A657D7"/>
    <w:rsid w:val="00A65B11"/>
    <w:rsid w:val="00A660AC"/>
    <w:rsid w:val="00A660CF"/>
    <w:rsid w:val="00A6666A"/>
    <w:rsid w:val="00A67A81"/>
    <w:rsid w:val="00A67E6C"/>
    <w:rsid w:val="00A67EBE"/>
    <w:rsid w:val="00A705E9"/>
    <w:rsid w:val="00A71548"/>
    <w:rsid w:val="00A71B99"/>
    <w:rsid w:val="00A73410"/>
    <w:rsid w:val="00A73546"/>
    <w:rsid w:val="00A738BC"/>
    <w:rsid w:val="00A739D0"/>
    <w:rsid w:val="00A76077"/>
    <w:rsid w:val="00A761D4"/>
    <w:rsid w:val="00A76FE5"/>
    <w:rsid w:val="00A77141"/>
    <w:rsid w:val="00A77390"/>
    <w:rsid w:val="00A77492"/>
    <w:rsid w:val="00A776E2"/>
    <w:rsid w:val="00A77953"/>
    <w:rsid w:val="00A77D2D"/>
    <w:rsid w:val="00A77EC4"/>
    <w:rsid w:val="00A8063D"/>
    <w:rsid w:val="00A80A6C"/>
    <w:rsid w:val="00A80A70"/>
    <w:rsid w:val="00A81196"/>
    <w:rsid w:val="00A81539"/>
    <w:rsid w:val="00A84B2E"/>
    <w:rsid w:val="00A851BB"/>
    <w:rsid w:val="00A85B0C"/>
    <w:rsid w:val="00A86052"/>
    <w:rsid w:val="00A86EC3"/>
    <w:rsid w:val="00A86F9A"/>
    <w:rsid w:val="00A9068A"/>
    <w:rsid w:val="00A90D6C"/>
    <w:rsid w:val="00A90DB5"/>
    <w:rsid w:val="00A916A4"/>
    <w:rsid w:val="00A916F8"/>
    <w:rsid w:val="00A91F71"/>
    <w:rsid w:val="00A925A3"/>
    <w:rsid w:val="00A925B3"/>
    <w:rsid w:val="00A92660"/>
    <w:rsid w:val="00A92879"/>
    <w:rsid w:val="00A9399B"/>
    <w:rsid w:val="00A93A09"/>
    <w:rsid w:val="00A9442A"/>
    <w:rsid w:val="00A94898"/>
    <w:rsid w:val="00A94C5B"/>
    <w:rsid w:val="00A95884"/>
    <w:rsid w:val="00A959CD"/>
    <w:rsid w:val="00A965A4"/>
    <w:rsid w:val="00A9667A"/>
    <w:rsid w:val="00A96871"/>
    <w:rsid w:val="00A9729B"/>
    <w:rsid w:val="00AA016F"/>
    <w:rsid w:val="00AA0F9F"/>
    <w:rsid w:val="00AA115E"/>
    <w:rsid w:val="00AA1ED6"/>
    <w:rsid w:val="00AA1FBE"/>
    <w:rsid w:val="00AA1FE4"/>
    <w:rsid w:val="00AA23AE"/>
    <w:rsid w:val="00AA262D"/>
    <w:rsid w:val="00AA2C91"/>
    <w:rsid w:val="00AA34E6"/>
    <w:rsid w:val="00AA390B"/>
    <w:rsid w:val="00AA3979"/>
    <w:rsid w:val="00AA3A2D"/>
    <w:rsid w:val="00AA4076"/>
    <w:rsid w:val="00AA4413"/>
    <w:rsid w:val="00AA44B6"/>
    <w:rsid w:val="00AA4D36"/>
    <w:rsid w:val="00AA51D6"/>
    <w:rsid w:val="00AA5592"/>
    <w:rsid w:val="00AA57B3"/>
    <w:rsid w:val="00AA5863"/>
    <w:rsid w:val="00AB035D"/>
    <w:rsid w:val="00AB081D"/>
    <w:rsid w:val="00AB0AC0"/>
    <w:rsid w:val="00AB0BC8"/>
    <w:rsid w:val="00AB0D23"/>
    <w:rsid w:val="00AB11CA"/>
    <w:rsid w:val="00AB14D9"/>
    <w:rsid w:val="00AB2438"/>
    <w:rsid w:val="00AB25ED"/>
    <w:rsid w:val="00AB2CEF"/>
    <w:rsid w:val="00AB4AB8"/>
    <w:rsid w:val="00AB4BE2"/>
    <w:rsid w:val="00AB5862"/>
    <w:rsid w:val="00AB5CB3"/>
    <w:rsid w:val="00AB5DA9"/>
    <w:rsid w:val="00AB6290"/>
    <w:rsid w:val="00AB655E"/>
    <w:rsid w:val="00AB6A0D"/>
    <w:rsid w:val="00AB774D"/>
    <w:rsid w:val="00AB7AEA"/>
    <w:rsid w:val="00AB7D5B"/>
    <w:rsid w:val="00AB7EC2"/>
    <w:rsid w:val="00AC007F"/>
    <w:rsid w:val="00AC0AEA"/>
    <w:rsid w:val="00AC0B2A"/>
    <w:rsid w:val="00AC22BA"/>
    <w:rsid w:val="00AC28BB"/>
    <w:rsid w:val="00AC2ECD"/>
    <w:rsid w:val="00AC3119"/>
    <w:rsid w:val="00AC404D"/>
    <w:rsid w:val="00AC49FB"/>
    <w:rsid w:val="00AC5A10"/>
    <w:rsid w:val="00AC5DF5"/>
    <w:rsid w:val="00AC77A8"/>
    <w:rsid w:val="00AD0AA3"/>
    <w:rsid w:val="00AD0F32"/>
    <w:rsid w:val="00AD192C"/>
    <w:rsid w:val="00AD1F6D"/>
    <w:rsid w:val="00AD2881"/>
    <w:rsid w:val="00AD2ED0"/>
    <w:rsid w:val="00AD32D4"/>
    <w:rsid w:val="00AD38D0"/>
    <w:rsid w:val="00AD3B31"/>
    <w:rsid w:val="00AD3F94"/>
    <w:rsid w:val="00AD4926"/>
    <w:rsid w:val="00AD4A5A"/>
    <w:rsid w:val="00AD7CC1"/>
    <w:rsid w:val="00AE049D"/>
    <w:rsid w:val="00AE272B"/>
    <w:rsid w:val="00AE27AC"/>
    <w:rsid w:val="00AE32B1"/>
    <w:rsid w:val="00AE40E0"/>
    <w:rsid w:val="00AE47E9"/>
    <w:rsid w:val="00AE4880"/>
    <w:rsid w:val="00AE4DBA"/>
    <w:rsid w:val="00AE4F07"/>
    <w:rsid w:val="00AE5ACB"/>
    <w:rsid w:val="00AE5D70"/>
    <w:rsid w:val="00AE668A"/>
    <w:rsid w:val="00AE70D5"/>
    <w:rsid w:val="00AF0520"/>
    <w:rsid w:val="00AF152C"/>
    <w:rsid w:val="00AF1C5D"/>
    <w:rsid w:val="00AF2394"/>
    <w:rsid w:val="00AF304A"/>
    <w:rsid w:val="00AF3BCF"/>
    <w:rsid w:val="00AF42D7"/>
    <w:rsid w:val="00AF5213"/>
    <w:rsid w:val="00AF5223"/>
    <w:rsid w:val="00AF55C8"/>
    <w:rsid w:val="00AF7405"/>
    <w:rsid w:val="00B006FE"/>
    <w:rsid w:val="00B00749"/>
    <w:rsid w:val="00B007CB"/>
    <w:rsid w:val="00B02AA9"/>
    <w:rsid w:val="00B02FA3"/>
    <w:rsid w:val="00B03EB1"/>
    <w:rsid w:val="00B05084"/>
    <w:rsid w:val="00B05D79"/>
    <w:rsid w:val="00B05F8C"/>
    <w:rsid w:val="00B07122"/>
    <w:rsid w:val="00B11ADF"/>
    <w:rsid w:val="00B11EC6"/>
    <w:rsid w:val="00B122FA"/>
    <w:rsid w:val="00B129FF"/>
    <w:rsid w:val="00B13BD5"/>
    <w:rsid w:val="00B14656"/>
    <w:rsid w:val="00B15343"/>
    <w:rsid w:val="00B157F9"/>
    <w:rsid w:val="00B16640"/>
    <w:rsid w:val="00B16ACD"/>
    <w:rsid w:val="00B16D93"/>
    <w:rsid w:val="00B17F3C"/>
    <w:rsid w:val="00B200ED"/>
    <w:rsid w:val="00B20256"/>
    <w:rsid w:val="00B20600"/>
    <w:rsid w:val="00B20D09"/>
    <w:rsid w:val="00B22F8E"/>
    <w:rsid w:val="00B23926"/>
    <w:rsid w:val="00B24A4A"/>
    <w:rsid w:val="00B2582D"/>
    <w:rsid w:val="00B26856"/>
    <w:rsid w:val="00B27630"/>
    <w:rsid w:val="00B2763F"/>
    <w:rsid w:val="00B27890"/>
    <w:rsid w:val="00B27AAC"/>
    <w:rsid w:val="00B27F8A"/>
    <w:rsid w:val="00B30223"/>
    <w:rsid w:val="00B30929"/>
    <w:rsid w:val="00B31A77"/>
    <w:rsid w:val="00B31E9E"/>
    <w:rsid w:val="00B32E78"/>
    <w:rsid w:val="00B334E6"/>
    <w:rsid w:val="00B341B8"/>
    <w:rsid w:val="00B348CE"/>
    <w:rsid w:val="00B34E13"/>
    <w:rsid w:val="00B34E7D"/>
    <w:rsid w:val="00B35BAA"/>
    <w:rsid w:val="00B372AA"/>
    <w:rsid w:val="00B373A3"/>
    <w:rsid w:val="00B40445"/>
    <w:rsid w:val="00B409E0"/>
    <w:rsid w:val="00B41888"/>
    <w:rsid w:val="00B421E7"/>
    <w:rsid w:val="00B42BB7"/>
    <w:rsid w:val="00B444EC"/>
    <w:rsid w:val="00B44D0B"/>
    <w:rsid w:val="00B45A52"/>
    <w:rsid w:val="00B46175"/>
    <w:rsid w:val="00B46D98"/>
    <w:rsid w:val="00B479F8"/>
    <w:rsid w:val="00B523CC"/>
    <w:rsid w:val="00B5398B"/>
    <w:rsid w:val="00B54368"/>
    <w:rsid w:val="00B54613"/>
    <w:rsid w:val="00B548B7"/>
    <w:rsid w:val="00B5591C"/>
    <w:rsid w:val="00B5593C"/>
    <w:rsid w:val="00B5790B"/>
    <w:rsid w:val="00B6265E"/>
    <w:rsid w:val="00B62787"/>
    <w:rsid w:val="00B65B5E"/>
    <w:rsid w:val="00B65DA0"/>
    <w:rsid w:val="00B664C7"/>
    <w:rsid w:val="00B6676D"/>
    <w:rsid w:val="00B66A12"/>
    <w:rsid w:val="00B67321"/>
    <w:rsid w:val="00B70679"/>
    <w:rsid w:val="00B70A10"/>
    <w:rsid w:val="00B713D8"/>
    <w:rsid w:val="00B71FA3"/>
    <w:rsid w:val="00B734A7"/>
    <w:rsid w:val="00B739F6"/>
    <w:rsid w:val="00B76D03"/>
    <w:rsid w:val="00B76DEB"/>
    <w:rsid w:val="00B77602"/>
    <w:rsid w:val="00B77AEC"/>
    <w:rsid w:val="00B77D49"/>
    <w:rsid w:val="00B80BC0"/>
    <w:rsid w:val="00B81A6C"/>
    <w:rsid w:val="00B821BB"/>
    <w:rsid w:val="00B827A3"/>
    <w:rsid w:val="00B82FAD"/>
    <w:rsid w:val="00B838C3"/>
    <w:rsid w:val="00B847A7"/>
    <w:rsid w:val="00B85DE5"/>
    <w:rsid w:val="00B860BA"/>
    <w:rsid w:val="00B8770A"/>
    <w:rsid w:val="00B90AC7"/>
    <w:rsid w:val="00B90EDE"/>
    <w:rsid w:val="00B90F73"/>
    <w:rsid w:val="00B91258"/>
    <w:rsid w:val="00B918B5"/>
    <w:rsid w:val="00B93414"/>
    <w:rsid w:val="00B93B59"/>
    <w:rsid w:val="00B93D0A"/>
    <w:rsid w:val="00B9406A"/>
    <w:rsid w:val="00B9414E"/>
    <w:rsid w:val="00B943FB"/>
    <w:rsid w:val="00B9568A"/>
    <w:rsid w:val="00B970C6"/>
    <w:rsid w:val="00BA0CD7"/>
    <w:rsid w:val="00BA0CFD"/>
    <w:rsid w:val="00BA2280"/>
    <w:rsid w:val="00BA2A08"/>
    <w:rsid w:val="00BA2FA8"/>
    <w:rsid w:val="00BA3776"/>
    <w:rsid w:val="00BA4AC8"/>
    <w:rsid w:val="00BA519F"/>
    <w:rsid w:val="00BA538E"/>
    <w:rsid w:val="00BA56D2"/>
    <w:rsid w:val="00BA5E14"/>
    <w:rsid w:val="00BA6106"/>
    <w:rsid w:val="00BA61BA"/>
    <w:rsid w:val="00BA6C1D"/>
    <w:rsid w:val="00BA6C23"/>
    <w:rsid w:val="00BA76E0"/>
    <w:rsid w:val="00BB06A1"/>
    <w:rsid w:val="00BB07CB"/>
    <w:rsid w:val="00BB2A25"/>
    <w:rsid w:val="00BB403E"/>
    <w:rsid w:val="00BB4D33"/>
    <w:rsid w:val="00BB51E9"/>
    <w:rsid w:val="00BB521C"/>
    <w:rsid w:val="00BB62E2"/>
    <w:rsid w:val="00BB7662"/>
    <w:rsid w:val="00BB780C"/>
    <w:rsid w:val="00BB7FA5"/>
    <w:rsid w:val="00BC0085"/>
    <w:rsid w:val="00BC07B2"/>
    <w:rsid w:val="00BC0FDC"/>
    <w:rsid w:val="00BC21DD"/>
    <w:rsid w:val="00BC2A18"/>
    <w:rsid w:val="00BC3053"/>
    <w:rsid w:val="00BC41D9"/>
    <w:rsid w:val="00BC46CC"/>
    <w:rsid w:val="00BC4D2E"/>
    <w:rsid w:val="00BC54E8"/>
    <w:rsid w:val="00BC61E3"/>
    <w:rsid w:val="00BC6B7B"/>
    <w:rsid w:val="00BC7507"/>
    <w:rsid w:val="00BD05BB"/>
    <w:rsid w:val="00BD48AC"/>
    <w:rsid w:val="00BD5F1A"/>
    <w:rsid w:val="00BD66B6"/>
    <w:rsid w:val="00BD673D"/>
    <w:rsid w:val="00BD7904"/>
    <w:rsid w:val="00BE1234"/>
    <w:rsid w:val="00BE125C"/>
    <w:rsid w:val="00BE2157"/>
    <w:rsid w:val="00BE2FA6"/>
    <w:rsid w:val="00BE333F"/>
    <w:rsid w:val="00BE4519"/>
    <w:rsid w:val="00BE4606"/>
    <w:rsid w:val="00BE46A7"/>
    <w:rsid w:val="00BE4E70"/>
    <w:rsid w:val="00BE661F"/>
    <w:rsid w:val="00BE6A54"/>
    <w:rsid w:val="00BE71F1"/>
    <w:rsid w:val="00BE7406"/>
    <w:rsid w:val="00BE7603"/>
    <w:rsid w:val="00BF027F"/>
    <w:rsid w:val="00BF1B5D"/>
    <w:rsid w:val="00BF2987"/>
    <w:rsid w:val="00BF3279"/>
    <w:rsid w:val="00BF3885"/>
    <w:rsid w:val="00BF39B9"/>
    <w:rsid w:val="00BF3CF8"/>
    <w:rsid w:val="00BF466F"/>
    <w:rsid w:val="00BF544B"/>
    <w:rsid w:val="00BF5B60"/>
    <w:rsid w:val="00BF618B"/>
    <w:rsid w:val="00BF74C7"/>
    <w:rsid w:val="00C015F1"/>
    <w:rsid w:val="00C01F33"/>
    <w:rsid w:val="00C02342"/>
    <w:rsid w:val="00C024D8"/>
    <w:rsid w:val="00C02557"/>
    <w:rsid w:val="00C02CC6"/>
    <w:rsid w:val="00C03232"/>
    <w:rsid w:val="00C03A85"/>
    <w:rsid w:val="00C040F7"/>
    <w:rsid w:val="00C044AB"/>
    <w:rsid w:val="00C0481E"/>
    <w:rsid w:val="00C05706"/>
    <w:rsid w:val="00C065C4"/>
    <w:rsid w:val="00C07377"/>
    <w:rsid w:val="00C0757C"/>
    <w:rsid w:val="00C07919"/>
    <w:rsid w:val="00C07A0C"/>
    <w:rsid w:val="00C07B7F"/>
    <w:rsid w:val="00C10478"/>
    <w:rsid w:val="00C108CF"/>
    <w:rsid w:val="00C11157"/>
    <w:rsid w:val="00C116FB"/>
    <w:rsid w:val="00C11C01"/>
    <w:rsid w:val="00C12107"/>
    <w:rsid w:val="00C13EBE"/>
    <w:rsid w:val="00C14AD2"/>
    <w:rsid w:val="00C14D4B"/>
    <w:rsid w:val="00C154BB"/>
    <w:rsid w:val="00C1583F"/>
    <w:rsid w:val="00C160FC"/>
    <w:rsid w:val="00C16C21"/>
    <w:rsid w:val="00C202CD"/>
    <w:rsid w:val="00C20B56"/>
    <w:rsid w:val="00C20CA3"/>
    <w:rsid w:val="00C20D48"/>
    <w:rsid w:val="00C2303E"/>
    <w:rsid w:val="00C2387C"/>
    <w:rsid w:val="00C23E12"/>
    <w:rsid w:val="00C23E51"/>
    <w:rsid w:val="00C24BEE"/>
    <w:rsid w:val="00C2538D"/>
    <w:rsid w:val="00C255BA"/>
    <w:rsid w:val="00C255BF"/>
    <w:rsid w:val="00C2690C"/>
    <w:rsid w:val="00C26A28"/>
    <w:rsid w:val="00C279B5"/>
    <w:rsid w:val="00C27C45"/>
    <w:rsid w:val="00C30418"/>
    <w:rsid w:val="00C30CBB"/>
    <w:rsid w:val="00C31300"/>
    <w:rsid w:val="00C31851"/>
    <w:rsid w:val="00C33606"/>
    <w:rsid w:val="00C34581"/>
    <w:rsid w:val="00C34628"/>
    <w:rsid w:val="00C348EC"/>
    <w:rsid w:val="00C34D34"/>
    <w:rsid w:val="00C35D9A"/>
    <w:rsid w:val="00C36CE0"/>
    <w:rsid w:val="00C36D0B"/>
    <w:rsid w:val="00C3719D"/>
    <w:rsid w:val="00C37B82"/>
    <w:rsid w:val="00C37CB2"/>
    <w:rsid w:val="00C40FDC"/>
    <w:rsid w:val="00C42101"/>
    <w:rsid w:val="00C43FEF"/>
    <w:rsid w:val="00C45571"/>
    <w:rsid w:val="00C473A5"/>
    <w:rsid w:val="00C50735"/>
    <w:rsid w:val="00C50C94"/>
    <w:rsid w:val="00C51530"/>
    <w:rsid w:val="00C5213E"/>
    <w:rsid w:val="00C52454"/>
    <w:rsid w:val="00C52BC7"/>
    <w:rsid w:val="00C5478B"/>
    <w:rsid w:val="00C54995"/>
    <w:rsid w:val="00C54D41"/>
    <w:rsid w:val="00C54D88"/>
    <w:rsid w:val="00C55176"/>
    <w:rsid w:val="00C55442"/>
    <w:rsid w:val="00C56EE3"/>
    <w:rsid w:val="00C577DA"/>
    <w:rsid w:val="00C60130"/>
    <w:rsid w:val="00C6074F"/>
    <w:rsid w:val="00C60783"/>
    <w:rsid w:val="00C6407A"/>
    <w:rsid w:val="00C64482"/>
    <w:rsid w:val="00C64672"/>
    <w:rsid w:val="00C64C78"/>
    <w:rsid w:val="00C67B7A"/>
    <w:rsid w:val="00C67C05"/>
    <w:rsid w:val="00C70271"/>
    <w:rsid w:val="00C70444"/>
    <w:rsid w:val="00C70697"/>
    <w:rsid w:val="00C7070E"/>
    <w:rsid w:val="00C70C05"/>
    <w:rsid w:val="00C72093"/>
    <w:rsid w:val="00C72EF4"/>
    <w:rsid w:val="00C74208"/>
    <w:rsid w:val="00C74256"/>
    <w:rsid w:val="00C744FE"/>
    <w:rsid w:val="00C74A87"/>
    <w:rsid w:val="00C759C7"/>
    <w:rsid w:val="00C759EF"/>
    <w:rsid w:val="00C75D2F"/>
    <w:rsid w:val="00C767BE"/>
    <w:rsid w:val="00C76E3C"/>
    <w:rsid w:val="00C774C5"/>
    <w:rsid w:val="00C7761F"/>
    <w:rsid w:val="00C813F7"/>
    <w:rsid w:val="00C81568"/>
    <w:rsid w:val="00C86A7D"/>
    <w:rsid w:val="00C86BF6"/>
    <w:rsid w:val="00C87067"/>
    <w:rsid w:val="00C87126"/>
    <w:rsid w:val="00C878DB"/>
    <w:rsid w:val="00C9027A"/>
    <w:rsid w:val="00C9068E"/>
    <w:rsid w:val="00C9169E"/>
    <w:rsid w:val="00C91750"/>
    <w:rsid w:val="00C91831"/>
    <w:rsid w:val="00C91D25"/>
    <w:rsid w:val="00C928D8"/>
    <w:rsid w:val="00C93814"/>
    <w:rsid w:val="00C93C4B"/>
    <w:rsid w:val="00C944AB"/>
    <w:rsid w:val="00C94773"/>
    <w:rsid w:val="00C95004"/>
    <w:rsid w:val="00C95948"/>
    <w:rsid w:val="00C95B40"/>
    <w:rsid w:val="00CA0BE7"/>
    <w:rsid w:val="00CA0CA5"/>
    <w:rsid w:val="00CA1ED8"/>
    <w:rsid w:val="00CA2278"/>
    <w:rsid w:val="00CA31ED"/>
    <w:rsid w:val="00CA6A5C"/>
    <w:rsid w:val="00CA6B03"/>
    <w:rsid w:val="00CB17B6"/>
    <w:rsid w:val="00CB1F63"/>
    <w:rsid w:val="00CB2CC6"/>
    <w:rsid w:val="00CB349E"/>
    <w:rsid w:val="00CB3797"/>
    <w:rsid w:val="00CB453D"/>
    <w:rsid w:val="00CB4799"/>
    <w:rsid w:val="00CB4844"/>
    <w:rsid w:val="00CB52F0"/>
    <w:rsid w:val="00CB54C3"/>
    <w:rsid w:val="00CB568B"/>
    <w:rsid w:val="00CB5B88"/>
    <w:rsid w:val="00CB61C2"/>
    <w:rsid w:val="00CB66DB"/>
    <w:rsid w:val="00CB6F44"/>
    <w:rsid w:val="00CB7170"/>
    <w:rsid w:val="00CB7B9D"/>
    <w:rsid w:val="00CB7E20"/>
    <w:rsid w:val="00CC0181"/>
    <w:rsid w:val="00CC02F7"/>
    <w:rsid w:val="00CC040E"/>
    <w:rsid w:val="00CC111F"/>
    <w:rsid w:val="00CC2011"/>
    <w:rsid w:val="00CC264D"/>
    <w:rsid w:val="00CC283D"/>
    <w:rsid w:val="00CC3D2F"/>
    <w:rsid w:val="00CC3EA0"/>
    <w:rsid w:val="00CC3EE7"/>
    <w:rsid w:val="00CC63E8"/>
    <w:rsid w:val="00CC7228"/>
    <w:rsid w:val="00CC7900"/>
    <w:rsid w:val="00CC7B45"/>
    <w:rsid w:val="00CD1188"/>
    <w:rsid w:val="00CD21BD"/>
    <w:rsid w:val="00CD2ED1"/>
    <w:rsid w:val="00CD337B"/>
    <w:rsid w:val="00CD4E5C"/>
    <w:rsid w:val="00CD73D2"/>
    <w:rsid w:val="00CE0424"/>
    <w:rsid w:val="00CE3A25"/>
    <w:rsid w:val="00CE4F0E"/>
    <w:rsid w:val="00CE5FB6"/>
    <w:rsid w:val="00CE6724"/>
    <w:rsid w:val="00CE711E"/>
    <w:rsid w:val="00CE7187"/>
    <w:rsid w:val="00CE7561"/>
    <w:rsid w:val="00CE77F1"/>
    <w:rsid w:val="00CF0776"/>
    <w:rsid w:val="00CF0F67"/>
    <w:rsid w:val="00CF1354"/>
    <w:rsid w:val="00CF229B"/>
    <w:rsid w:val="00CF2454"/>
    <w:rsid w:val="00CF2EE2"/>
    <w:rsid w:val="00CF2F21"/>
    <w:rsid w:val="00CF2F53"/>
    <w:rsid w:val="00CF31FC"/>
    <w:rsid w:val="00CF3B1F"/>
    <w:rsid w:val="00CF3BF6"/>
    <w:rsid w:val="00CF43BF"/>
    <w:rsid w:val="00CF4803"/>
    <w:rsid w:val="00CF6240"/>
    <w:rsid w:val="00CF625B"/>
    <w:rsid w:val="00CF687E"/>
    <w:rsid w:val="00CF6A4A"/>
    <w:rsid w:val="00CF6A83"/>
    <w:rsid w:val="00CF7B42"/>
    <w:rsid w:val="00CF7E4C"/>
    <w:rsid w:val="00D00282"/>
    <w:rsid w:val="00D006E9"/>
    <w:rsid w:val="00D01044"/>
    <w:rsid w:val="00D01ED5"/>
    <w:rsid w:val="00D032CA"/>
    <w:rsid w:val="00D0349B"/>
    <w:rsid w:val="00D04A9C"/>
    <w:rsid w:val="00D05351"/>
    <w:rsid w:val="00D05E58"/>
    <w:rsid w:val="00D06E75"/>
    <w:rsid w:val="00D10249"/>
    <w:rsid w:val="00D10C5E"/>
    <w:rsid w:val="00D10F31"/>
    <w:rsid w:val="00D115C3"/>
    <w:rsid w:val="00D11897"/>
    <w:rsid w:val="00D120A1"/>
    <w:rsid w:val="00D127CB"/>
    <w:rsid w:val="00D13135"/>
    <w:rsid w:val="00D132D9"/>
    <w:rsid w:val="00D139C5"/>
    <w:rsid w:val="00D13E4E"/>
    <w:rsid w:val="00D140D4"/>
    <w:rsid w:val="00D14848"/>
    <w:rsid w:val="00D14EDE"/>
    <w:rsid w:val="00D15945"/>
    <w:rsid w:val="00D15C63"/>
    <w:rsid w:val="00D17E30"/>
    <w:rsid w:val="00D20B06"/>
    <w:rsid w:val="00D21C4D"/>
    <w:rsid w:val="00D21DC7"/>
    <w:rsid w:val="00D22244"/>
    <w:rsid w:val="00D239A7"/>
    <w:rsid w:val="00D23B3E"/>
    <w:rsid w:val="00D23F47"/>
    <w:rsid w:val="00D256F0"/>
    <w:rsid w:val="00D26044"/>
    <w:rsid w:val="00D26184"/>
    <w:rsid w:val="00D279EC"/>
    <w:rsid w:val="00D27D1E"/>
    <w:rsid w:val="00D327C8"/>
    <w:rsid w:val="00D344A2"/>
    <w:rsid w:val="00D34F96"/>
    <w:rsid w:val="00D36022"/>
    <w:rsid w:val="00D3628C"/>
    <w:rsid w:val="00D3649E"/>
    <w:rsid w:val="00D36E71"/>
    <w:rsid w:val="00D37A15"/>
    <w:rsid w:val="00D37D87"/>
    <w:rsid w:val="00D401FA"/>
    <w:rsid w:val="00D40B33"/>
    <w:rsid w:val="00D40C4C"/>
    <w:rsid w:val="00D41F1B"/>
    <w:rsid w:val="00D420FB"/>
    <w:rsid w:val="00D43045"/>
    <w:rsid w:val="00D4318F"/>
    <w:rsid w:val="00D438BF"/>
    <w:rsid w:val="00D43939"/>
    <w:rsid w:val="00D440F8"/>
    <w:rsid w:val="00D455C2"/>
    <w:rsid w:val="00D457C8"/>
    <w:rsid w:val="00D4646C"/>
    <w:rsid w:val="00D50D83"/>
    <w:rsid w:val="00D50E65"/>
    <w:rsid w:val="00D51847"/>
    <w:rsid w:val="00D52B0C"/>
    <w:rsid w:val="00D53317"/>
    <w:rsid w:val="00D53379"/>
    <w:rsid w:val="00D53722"/>
    <w:rsid w:val="00D53A0D"/>
    <w:rsid w:val="00D54312"/>
    <w:rsid w:val="00D546FF"/>
    <w:rsid w:val="00D550A5"/>
    <w:rsid w:val="00D55AD5"/>
    <w:rsid w:val="00D5622A"/>
    <w:rsid w:val="00D56D23"/>
    <w:rsid w:val="00D57223"/>
    <w:rsid w:val="00D576CA"/>
    <w:rsid w:val="00D611C0"/>
    <w:rsid w:val="00D61AF5"/>
    <w:rsid w:val="00D652B5"/>
    <w:rsid w:val="00D66155"/>
    <w:rsid w:val="00D66AD1"/>
    <w:rsid w:val="00D67453"/>
    <w:rsid w:val="00D7075D"/>
    <w:rsid w:val="00D708B0"/>
    <w:rsid w:val="00D7192E"/>
    <w:rsid w:val="00D71E5A"/>
    <w:rsid w:val="00D748D0"/>
    <w:rsid w:val="00D750E9"/>
    <w:rsid w:val="00D7630A"/>
    <w:rsid w:val="00D76CFA"/>
    <w:rsid w:val="00D77B1D"/>
    <w:rsid w:val="00D8021F"/>
    <w:rsid w:val="00D80383"/>
    <w:rsid w:val="00D80A17"/>
    <w:rsid w:val="00D82087"/>
    <w:rsid w:val="00D823C6"/>
    <w:rsid w:val="00D827F9"/>
    <w:rsid w:val="00D8327F"/>
    <w:rsid w:val="00D84003"/>
    <w:rsid w:val="00D8412F"/>
    <w:rsid w:val="00D842D8"/>
    <w:rsid w:val="00D8446B"/>
    <w:rsid w:val="00D85232"/>
    <w:rsid w:val="00D85991"/>
    <w:rsid w:val="00D85A03"/>
    <w:rsid w:val="00D86873"/>
    <w:rsid w:val="00D86AB6"/>
    <w:rsid w:val="00D86CA3"/>
    <w:rsid w:val="00D871CE"/>
    <w:rsid w:val="00D87322"/>
    <w:rsid w:val="00D873A6"/>
    <w:rsid w:val="00D875CE"/>
    <w:rsid w:val="00D879EA"/>
    <w:rsid w:val="00D91680"/>
    <w:rsid w:val="00D917E7"/>
    <w:rsid w:val="00D9196D"/>
    <w:rsid w:val="00D92295"/>
    <w:rsid w:val="00D92982"/>
    <w:rsid w:val="00D96913"/>
    <w:rsid w:val="00D96BD1"/>
    <w:rsid w:val="00D97D62"/>
    <w:rsid w:val="00DA2814"/>
    <w:rsid w:val="00DA2893"/>
    <w:rsid w:val="00DA2D52"/>
    <w:rsid w:val="00DA305E"/>
    <w:rsid w:val="00DA3A03"/>
    <w:rsid w:val="00DA5417"/>
    <w:rsid w:val="00DA55C2"/>
    <w:rsid w:val="00DA56E8"/>
    <w:rsid w:val="00DA591B"/>
    <w:rsid w:val="00DA5CB0"/>
    <w:rsid w:val="00DA6A9C"/>
    <w:rsid w:val="00DA71EF"/>
    <w:rsid w:val="00DB0A9F"/>
    <w:rsid w:val="00DB0B61"/>
    <w:rsid w:val="00DB23C7"/>
    <w:rsid w:val="00DB2FDC"/>
    <w:rsid w:val="00DB3059"/>
    <w:rsid w:val="00DB3478"/>
    <w:rsid w:val="00DB377D"/>
    <w:rsid w:val="00DB4A16"/>
    <w:rsid w:val="00DB4B8E"/>
    <w:rsid w:val="00DC03FA"/>
    <w:rsid w:val="00DC11FA"/>
    <w:rsid w:val="00DC2D36"/>
    <w:rsid w:val="00DC397B"/>
    <w:rsid w:val="00DC47EA"/>
    <w:rsid w:val="00DC53EF"/>
    <w:rsid w:val="00DC59F9"/>
    <w:rsid w:val="00DC5B13"/>
    <w:rsid w:val="00DC7B7C"/>
    <w:rsid w:val="00DC7E4A"/>
    <w:rsid w:val="00DC7ED2"/>
    <w:rsid w:val="00DD2320"/>
    <w:rsid w:val="00DD2515"/>
    <w:rsid w:val="00DD350E"/>
    <w:rsid w:val="00DD39BE"/>
    <w:rsid w:val="00DD3EA7"/>
    <w:rsid w:val="00DD4A61"/>
    <w:rsid w:val="00DD4EEE"/>
    <w:rsid w:val="00DD5A3D"/>
    <w:rsid w:val="00DD5A6A"/>
    <w:rsid w:val="00DD5E09"/>
    <w:rsid w:val="00DD6673"/>
    <w:rsid w:val="00DD6E70"/>
    <w:rsid w:val="00DD7786"/>
    <w:rsid w:val="00DE08F9"/>
    <w:rsid w:val="00DE09C7"/>
    <w:rsid w:val="00DE16C3"/>
    <w:rsid w:val="00DE1F85"/>
    <w:rsid w:val="00DE2B7B"/>
    <w:rsid w:val="00DE31EA"/>
    <w:rsid w:val="00DE40A9"/>
    <w:rsid w:val="00DE48F8"/>
    <w:rsid w:val="00DE5608"/>
    <w:rsid w:val="00DE58D0"/>
    <w:rsid w:val="00DE5DF6"/>
    <w:rsid w:val="00DE654F"/>
    <w:rsid w:val="00DE755A"/>
    <w:rsid w:val="00DE7A67"/>
    <w:rsid w:val="00DF0B6E"/>
    <w:rsid w:val="00DF0B9D"/>
    <w:rsid w:val="00DF15E0"/>
    <w:rsid w:val="00DF37A0"/>
    <w:rsid w:val="00DF3868"/>
    <w:rsid w:val="00DF46E9"/>
    <w:rsid w:val="00DF56FA"/>
    <w:rsid w:val="00DF6295"/>
    <w:rsid w:val="00DF6542"/>
    <w:rsid w:val="00DF696E"/>
    <w:rsid w:val="00DF6979"/>
    <w:rsid w:val="00DF6A4E"/>
    <w:rsid w:val="00DF79A3"/>
    <w:rsid w:val="00E001A2"/>
    <w:rsid w:val="00E009ED"/>
    <w:rsid w:val="00E02DCD"/>
    <w:rsid w:val="00E0414F"/>
    <w:rsid w:val="00E06807"/>
    <w:rsid w:val="00E075B6"/>
    <w:rsid w:val="00E100EB"/>
    <w:rsid w:val="00E10B2D"/>
    <w:rsid w:val="00E110E7"/>
    <w:rsid w:val="00E11B20"/>
    <w:rsid w:val="00E123DB"/>
    <w:rsid w:val="00E1327A"/>
    <w:rsid w:val="00E13B57"/>
    <w:rsid w:val="00E14BFB"/>
    <w:rsid w:val="00E15C9F"/>
    <w:rsid w:val="00E1629E"/>
    <w:rsid w:val="00E16F11"/>
    <w:rsid w:val="00E17ACA"/>
    <w:rsid w:val="00E17FA2"/>
    <w:rsid w:val="00E205E6"/>
    <w:rsid w:val="00E21A04"/>
    <w:rsid w:val="00E220E7"/>
    <w:rsid w:val="00E22330"/>
    <w:rsid w:val="00E245DF"/>
    <w:rsid w:val="00E24C9A"/>
    <w:rsid w:val="00E2513D"/>
    <w:rsid w:val="00E2654F"/>
    <w:rsid w:val="00E271A9"/>
    <w:rsid w:val="00E27795"/>
    <w:rsid w:val="00E2779F"/>
    <w:rsid w:val="00E3061E"/>
    <w:rsid w:val="00E30A2E"/>
    <w:rsid w:val="00E30B5A"/>
    <w:rsid w:val="00E31029"/>
    <w:rsid w:val="00E3123D"/>
    <w:rsid w:val="00E31461"/>
    <w:rsid w:val="00E31998"/>
    <w:rsid w:val="00E31D43"/>
    <w:rsid w:val="00E31D55"/>
    <w:rsid w:val="00E3251F"/>
    <w:rsid w:val="00E32608"/>
    <w:rsid w:val="00E33353"/>
    <w:rsid w:val="00E335F1"/>
    <w:rsid w:val="00E34188"/>
    <w:rsid w:val="00E34B6E"/>
    <w:rsid w:val="00E35559"/>
    <w:rsid w:val="00E370A1"/>
    <w:rsid w:val="00E3723A"/>
    <w:rsid w:val="00E374B2"/>
    <w:rsid w:val="00E37860"/>
    <w:rsid w:val="00E40095"/>
    <w:rsid w:val="00E404BD"/>
    <w:rsid w:val="00E409BB"/>
    <w:rsid w:val="00E41685"/>
    <w:rsid w:val="00E4353E"/>
    <w:rsid w:val="00E43719"/>
    <w:rsid w:val="00E444D2"/>
    <w:rsid w:val="00E446F1"/>
    <w:rsid w:val="00E4500C"/>
    <w:rsid w:val="00E46886"/>
    <w:rsid w:val="00E4728C"/>
    <w:rsid w:val="00E47AEF"/>
    <w:rsid w:val="00E50715"/>
    <w:rsid w:val="00E5104C"/>
    <w:rsid w:val="00E5142D"/>
    <w:rsid w:val="00E517C0"/>
    <w:rsid w:val="00E51A76"/>
    <w:rsid w:val="00E51B21"/>
    <w:rsid w:val="00E53B75"/>
    <w:rsid w:val="00E5421F"/>
    <w:rsid w:val="00E5435F"/>
    <w:rsid w:val="00E5493D"/>
    <w:rsid w:val="00E54E3B"/>
    <w:rsid w:val="00E57565"/>
    <w:rsid w:val="00E606DE"/>
    <w:rsid w:val="00E6082A"/>
    <w:rsid w:val="00E614B9"/>
    <w:rsid w:val="00E6351D"/>
    <w:rsid w:val="00E63838"/>
    <w:rsid w:val="00E63DAF"/>
    <w:rsid w:val="00E64434"/>
    <w:rsid w:val="00E651FB"/>
    <w:rsid w:val="00E6648C"/>
    <w:rsid w:val="00E67C51"/>
    <w:rsid w:val="00E70649"/>
    <w:rsid w:val="00E70F4B"/>
    <w:rsid w:val="00E71C1E"/>
    <w:rsid w:val="00E71D95"/>
    <w:rsid w:val="00E72E7F"/>
    <w:rsid w:val="00E72EFC"/>
    <w:rsid w:val="00E749F8"/>
    <w:rsid w:val="00E758EC"/>
    <w:rsid w:val="00E75BA1"/>
    <w:rsid w:val="00E76AA4"/>
    <w:rsid w:val="00E773DA"/>
    <w:rsid w:val="00E77F0A"/>
    <w:rsid w:val="00E80802"/>
    <w:rsid w:val="00E80830"/>
    <w:rsid w:val="00E80AB7"/>
    <w:rsid w:val="00E80B81"/>
    <w:rsid w:val="00E8173E"/>
    <w:rsid w:val="00E822A4"/>
    <w:rsid w:val="00E8234C"/>
    <w:rsid w:val="00E83196"/>
    <w:rsid w:val="00E8375F"/>
    <w:rsid w:val="00E83AA9"/>
    <w:rsid w:val="00E84A98"/>
    <w:rsid w:val="00E84D12"/>
    <w:rsid w:val="00E85928"/>
    <w:rsid w:val="00E85C73"/>
    <w:rsid w:val="00E86262"/>
    <w:rsid w:val="00E8674E"/>
    <w:rsid w:val="00E86A38"/>
    <w:rsid w:val="00E86CB3"/>
    <w:rsid w:val="00E87822"/>
    <w:rsid w:val="00E90395"/>
    <w:rsid w:val="00E90CEC"/>
    <w:rsid w:val="00E90E49"/>
    <w:rsid w:val="00E917F9"/>
    <w:rsid w:val="00E9182A"/>
    <w:rsid w:val="00E921AC"/>
    <w:rsid w:val="00E9291C"/>
    <w:rsid w:val="00E93562"/>
    <w:rsid w:val="00E93FFE"/>
    <w:rsid w:val="00E9437C"/>
    <w:rsid w:val="00E94559"/>
    <w:rsid w:val="00E94F8A"/>
    <w:rsid w:val="00E95403"/>
    <w:rsid w:val="00E97D0F"/>
    <w:rsid w:val="00EA0347"/>
    <w:rsid w:val="00EA0422"/>
    <w:rsid w:val="00EA0B6C"/>
    <w:rsid w:val="00EA161C"/>
    <w:rsid w:val="00EA1635"/>
    <w:rsid w:val="00EA2523"/>
    <w:rsid w:val="00EA5449"/>
    <w:rsid w:val="00EA55CC"/>
    <w:rsid w:val="00EA5FE5"/>
    <w:rsid w:val="00EA7373"/>
    <w:rsid w:val="00EA7A41"/>
    <w:rsid w:val="00EB06A0"/>
    <w:rsid w:val="00EB077B"/>
    <w:rsid w:val="00EB0EEA"/>
    <w:rsid w:val="00EB1035"/>
    <w:rsid w:val="00EB15BE"/>
    <w:rsid w:val="00EB2E2F"/>
    <w:rsid w:val="00EB4EA2"/>
    <w:rsid w:val="00EB59DF"/>
    <w:rsid w:val="00EC0A8D"/>
    <w:rsid w:val="00EC0AC0"/>
    <w:rsid w:val="00EC1D03"/>
    <w:rsid w:val="00EC24D5"/>
    <w:rsid w:val="00EC27C6"/>
    <w:rsid w:val="00EC28B6"/>
    <w:rsid w:val="00EC3A76"/>
    <w:rsid w:val="00EC3DE2"/>
    <w:rsid w:val="00EC4207"/>
    <w:rsid w:val="00EC4707"/>
    <w:rsid w:val="00EC4780"/>
    <w:rsid w:val="00EC4CED"/>
    <w:rsid w:val="00EC4E8D"/>
    <w:rsid w:val="00EC5653"/>
    <w:rsid w:val="00EC5AC3"/>
    <w:rsid w:val="00EC620E"/>
    <w:rsid w:val="00EC6E73"/>
    <w:rsid w:val="00EC71CE"/>
    <w:rsid w:val="00ED1006"/>
    <w:rsid w:val="00ED1391"/>
    <w:rsid w:val="00ED29C6"/>
    <w:rsid w:val="00ED3244"/>
    <w:rsid w:val="00ED3943"/>
    <w:rsid w:val="00ED53B0"/>
    <w:rsid w:val="00ED568E"/>
    <w:rsid w:val="00ED71AF"/>
    <w:rsid w:val="00ED74DD"/>
    <w:rsid w:val="00ED753C"/>
    <w:rsid w:val="00ED79F5"/>
    <w:rsid w:val="00ED7A0D"/>
    <w:rsid w:val="00EE01CC"/>
    <w:rsid w:val="00EE0A55"/>
    <w:rsid w:val="00EE0B78"/>
    <w:rsid w:val="00EE13E3"/>
    <w:rsid w:val="00EE1722"/>
    <w:rsid w:val="00EE193F"/>
    <w:rsid w:val="00EE35F2"/>
    <w:rsid w:val="00EE480F"/>
    <w:rsid w:val="00EE65D8"/>
    <w:rsid w:val="00EE7530"/>
    <w:rsid w:val="00EF1681"/>
    <w:rsid w:val="00EF18A4"/>
    <w:rsid w:val="00EF18FE"/>
    <w:rsid w:val="00EF1DEB"/>
    <w:rsid w:val="00EF468E"/>
    <w:rsid w:val="00EF47BD"/>
    <w:rsid w:val="00EF4CB9"/>
    <w:rsid w:val="00EF559A"/>
    <w:rsid w:val="00EF5787"/>
    <w:rsid w:val="00EF60D0"/>
    <w:rsid w:val="00EF72FD"/>
    <w:rsid w:val="00F000DF"/>
    <w:rsid w:val="00F005B0"/>
    <w:rsid w:val="00F01113"/>
    <w:rsid w:val="00F03BB7"/>
    <w:rsid w:val="00F0440C"/>
    <w:rsid w:val="00F0528D"/>
    <w:rsid w:val="00F053A0"/>
    <w:rsid w:val="00F06C67"/>
    <w:rsid w:val="00F06DFD"/>
    <w:rsid w:val="00F071D1"/>
    <w:rsid w:val="00F07533"/>
    <w:rsid w:val="00F07F46"/>
    <w:rsid w:val="00F10136"/>
    <w:rsid w:val="00F10629"/>
    <w:rsid w:val="00F10EB9"/>
    <w:rsid w:val="00F1169E"/>
    <w:rsid w:val="00F11C2F"/>
    <w:rsid w:val="00F13958"/>
    <w:rsid w:val="00F15FA5"/>
    <w:rsid w:val="00F16437"/>
    <w:rsid w:val="00F16C98"/>
    <w:rsid w:val="00F16D75"/>
    <w:rsid w:val="00F1714F"/>
    <w:rsid w:val="00F1761B"/>
    <w:rsid w:val="00F17FF4"/>
    <w:rsid w:val="00F209B7"/>
    <w:rsid w:val="00F22014"/>
    <w:rsid w:val="00F2281E"/>
    <w:rsid w:val="00F22DFA"/>
    <w:rsid w:val="00F2376F"/>
    <w:rsid w:val="00F23F83"/>
    <w:rsid w:val="00F243D8"/>
    <w:rsid w:val="00F24AB7"/>
    <w:rsid w:val="00F251EA"/>
    <w:rsid w:val="00F25601"/>
    <w:rsid w:val="00F25814"/>
    <w:rsid w:val="00F26807"/>
    <w:rsid w:val="00F26AB2"/>
    <w:rsid w:val="00F2746B"/>
    <w:rsid w:val="00F30511"/>
    <w:rsid w:val="00F30828"/>
    <w:rsid w:val="00F30F2F"/>
    <w:rsid w:val="00F30FE5"/>
    <w:rsid w:val="00F31242"/>
    <w:rsid w:val="00F313D6"/>
    <w:rsid w:val="00F3149B"/>
    <w:rsid w:val="00F314F5"/>
    <w:rsid w:val="00F31516"/>
    <w:rsid w:val="00F3240A"/>
    <w:rsid w:val="00F331CE"/>
    <w:rsid w:val="00F3504B"/>
    <w:rsid w:val="00F35B72"/>
    <w:rsid w:val="00F35E2E"/>
    <w:rsid w:val="00F3695D"/>
    <w:rsid w:val="00F3795C"/>
    <w:rsid w:val="00F409E9"/>
    <w:rsid w:val="00F40EAD"/>
    <w:rsid w:val="00F40F0C"/>
    <w:rsid w:val="00F4200F"/>
    <w:rsid w:val="00F42ADC"/>
    <w:rsid w:val="00F44672"/>
    <w:rsid w:val="00F44DA8"/>
    <w:rsid w:val="00F44E77"/>
    <w:rsid w:val="00F44F29"/>
    <w:rsid w:val="00F44F42"/>
    <w:rsid w:val="00F45343"/>
    <w:rsid w:val="00F45A42"/>
    <w:rsid w:val="00F4766C"/>
    <w:rsid w:val="00F5060E"/>
    <w:rsid w:val="00F507D1"/>
    <w:rsid w:val="00F5171F"/>
    <w:rsid w:val="00F519CE"/>
    <w:rsid w:val="00F51ADA"/>
    <w:rsid w:val="00F52000"/>
    <w:rsid w:val="00F5223C"/>
    <w:rsid w:val="00F52382"/>
    <w:rsid w:val="00F5366E"/>
    <w:rsid w:val="00F5369B"/>
    <w:rsid w:val="00F54137"/>
    <w:rsid w:val="00F541D7"/>
    <w:rsid w:val="00F54B9D"/>
    <w:rsid w:val="00F552B3"/>
    <w:rsid w:val="00F561CA"/>
    <w:rsid w:val="00F573B6"/>
    <w:rsid w:val="00F60203"/>
    <w:rsid w:val="00F6034B"/>
    <w:rsid w:val="00F607C5"/>
    <w:rsid w:val="00F60DEA"/>
    <w:rsid w:val="00F61A11"/>
    <w:rsid w:val="00F62C65"/>
    <w:rsid w:val="00F62E9C"/>
    <w:rsid w:val="00F6302A"/>
    <w:rsid w:val="00F63950"/>
    <w:rsid w:val="00F63CFD"/>
    <w:rsid w:val="00F640BF"/>
    <w:rsid w:val="00F64C2B"/>
    <w:rsid w:val="00F64E3D"/>
    <w:rsid w:val="00F65089"/>
    <w:rsid w:val="00F650BE"/>
    <w:rsid w:val="00F65140"/>
    <w:rsid w:val="00F651BE"/>
    <w:rsid w:val="00F66315"/>
    <w:rsid w:val="00F664AD"/>
    <w:rsid w:val="00F665AC"/>
    <w:rsid w:val="00F66A4B"/>
    <w:rsid w:val="00F66ADA"/>
    <w:rsid w:val="00F67F53"/>
    <w:rsid w:val="00F703BE"/>
    <w:rsid w:val="00F70795"/>
    <w:rsid w:val="00F71ACF"/>
    <w:rsid w:val="00F71B74"/>
    <w:rsid w:val="00F71D1E"/>
    <w:rsid w:val="00F71F69"/>
    <w:rsid w:val="00F72B72"/>
    <w:rsid w:val="00F72F89"/>
    <w:rsid w:val="00F73E16"/>
    <w:rsid w:val="00F73E18"/>
    <w:rsid w:val="00F7441B"/>
    <w:rsid w:val="00F74534"/>
    <w:rsid w:val="00F74BB9"/>
    <w:rsid w:val="00F75282"/>
    <w:rsid w:val="00F75582"/>
    <w:rsid w:val="00F766D6"/>
    <w:rsid w:val="00F76CF7"/>
    <w:rsid w:val="00F76EFA"/>
    <w:rsid w:val="00F77776"/>
    <w:rsid w:val="00F77E64"/>
    <w:rsid w:val="00F804BE"/>
    <w:rsid w:val="00F812F0"/>
    <w:rsid w:val="00F817CE"/>
    <w:rsid w:val="00F81A5F"/>
    <w:rsid w:val="00F82F85"/>
    <w:rsid w:val="00F8440A"/>
    <w:rsid w:val="00F8456C"/>
    <w:rsid w:val="00F859D8"/>
    <w:rsid w:val="00F868F5"/>
    <w:rsid w:val="00F9018C"/>
    <w:rsid w:val="00F9056A"/>
    <w:rsid w:val="00F90A0C"/>
    <w:rsid w:val="00F90CF1"/>
    <w:rsid w:val="00F90F8D"/>
    <w:rsid w:val="00F9146D"/>
    <w:rsid w:val="00F92769"/>
    <w:rsid w:val="00F92782"/>
    <w:rsid w:val="00F93512"/>
    <w:rsid w:val="00F93A97"/>
    <w:rsid w:val="00F93AA9"/>
    <w:rsid w:val="00F948DC"/>
    <w:rsid w:val="00F94D9C"/>
    <w:rsid w:val="00F95FDD"/>
    <w:rsid w:val="00F965DD"/>
    <w:rsid w:val="00F96985"/>
    <w:rsid w:val="00F97838"/>
    <w:rsid w:val="00FA0052"/>
    <w:rsid w:val="00FA0257"/>
    <w:rsid w:val="00FA047F"/>
    <w:rsid w:val="00FA1D87"/>
    <w:rsid w:val="00FA270B"/>
    <w:rsid w:val="00FA2BB3"/>
    <w:rsid w:val="00FA4AEF"/>
    <w:rsid w:val="00FA5D8A"/>
    <w:rsid w:val="00FA690D"/>
    <w:rsid w:val="00FB1499"/>
    <w:rsid w:val="00FB1F2C"/>
    <w:rsid w:val="00FB25FA"/>
    <w:rsid w:val="00FB3646"/>
    <w:rsid w:val="00FB402A"/>
    <w:rsid w:val="00FB4107"/>
    <w:rsid w:val="00FB4BA4"/>
    <w:rsid w:val="00FB4C80"/>
    <w:rsid w:val="00FB6A6A"/>
    <w:rsid w:val="00FC0232"/>
    <w:rsid w:val="00FC07A0"/>
    <w:rsid w:val="00FC169C"/>
    <w:rsid w:val="00FC3707"/>
    <w:rsid w:val="00FC4723"/>
    <w:rsid w:val="00FC7429"/>
    <w:rsid w:val="00FC7485"/>
    <w:rsid w:val="00FD07F6"/>
    <w:rsid w:val="00FD1EC8"/>
    <w:rsid w:val="00FD38E5"/>
    <w:rsid w:val="00FD3F89"/>
    <w:rsid w:val="00FD47ED"/>
    <w:rsid w:val="00FD4C33"/>
    <w:rsid w:val="00FD5782"/>
    <w:rsid w:val="00FD5BDF"/>
    <w:rsid w:val="00FD5C99"/>
    <w:rsid w:val="00FD6AA1"/>
    <w:rsid w:val="00FD7388"/>
    <w:rsid w:val="00FD74DB"/>
    <w:rsid w:val="00FD7660"/>
    <w:rsid w:val="00FE03BE"/>
    <w:rsid w:val="00FE0655"/>
    <w:rsid w:val="00FE0A48"/>
    <w:rsid w:val="00FE1840"/>
    <w:rsid w:val="00FE1CE5"/>
    <w:rsid w:val="00FE2327"/>
    <w:rsid w:val="00FE2365"/>
    <w:rsid w:val="00FE37D7"/>
    <w:rsid w:val="00FE3A66"/>
    <w:rsid w:val="00FE4542"/>
    <w:rsid w:val="00FE4C7B"/>
    <w:rsid w:val="00FE4FA3"/>
    <w:rsid w:val="00FE5012"/>
    <w:rsid w:val="00FE52C5"/>
    <w:rsid w:val="00FE618A"/>
    <w:rsid w:val="00FE7336"/>
    <w:rsid w:val="00FE787C"/>
    <w:rsid w:val="00FF0B56"/>
    <w:rsid w:val="00FF0D37"/>
    <w:rsid w:val="00FF0F33"/>
    <w:rsid w:val="00FF18D8"/>
    <w:rsid w:val="00FF3887"/>
    <w:rsid w:val="00FF3EDC"/>
    <w:rsid w:val="00FF45A5"/>
    <w:rsid w:val="00FF4680"/>
    <w:rsid w:val="00FF536A"/>
    <w:rsid w:val="00FF5518"/>
    <w:rsid w:val="00FF5C91"/>
    <w:rsid w:val="00FF6A21"/>
    <w:rsid w:val="00FF6CC8"/>
    <w:rsid w:val="00FF7875"/>
    <w:rsid w:val="00FF7C30"/>
    <w:rsid w:val="1E674C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61446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C360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ind w:left="1152" w:hanging="1152"/>
      <w:outlineLvl w:val="5"/>
    </w:pPr>
  </w:style>
  <w:style w:type="paragraph" w:styleId="Heading7">
    <w:name w:val="heading 7"/>
    <w:basedOn w:val="H6"/>
    <w:next w:val="Normal"/>
    <w:link w:val="Heading7Char"/>
    <w:qFormat/>
    <w:rsid w:val="008D00A5"/>
    <w:pPr>
      <w:ind w:left="1296" w:hanging="1296"/>
      <w:outlineLvl w:val="6"/>
    </w:pPr>
  </w:style>
  <w:style w:type="paragraph" w:styleId="Heading8">
    <w:name w:val="heading 8"/>
    <w:basedOn w:val="Heading1"/>
    <w:next w:val="Normal"/>
    <w:link w:val="Heading8Char"/>
    <w:qFormat/>
    <w:rsid w:val="008D00A5"/>
    <w:pPr>
      <w:ind w:left="1440" w:hanging="1440"/>
      <w:outlineLvl w:val="7"/>
    </w:pPr>
  </w:style>
  <w:style w:type="paragraph" w:styleId="Heading9">
    <w:name w:val="heading 9"/>
    <w:basedOn w:val="Heading8"/>
    <w:next w:val="Normal"/>
    <w:link w:val="Heading9Char"/>
    <w:qFormat/>
    <w:rsid w:val="008D00A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4B5CA1"/>
    <w:pPr>
      <w:numPr>
        <w:numId w:val="2"/>
      </w:numPr>
      <w:tabs>
        <w:tab w:val="left" w:pos="1701"/>
      </w:tabs>
      <w:spacing w:after="160"/>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IvDbodytextChar">
    <w:name w:val="IvD bodytext Char"/>
    <w:basedOn w:val="DefaultParagraphFont"/>
    <w:link w:val="IvDbodytext"/>
    <w:locked/>
    <w:rsid w:val="009A6063"/>
    <w:rPr>
      <w:rFonts w:ascii="Arial" w:eastAsiaTheme="minorEastAsia" w:hAnsi="Arial" w:cs="Arial"/>
      <w:spacing w:val="2"/>
      <w:sz w:val="22"/>
      <w:szCs w:val="22"/>
    </w:rPr>
  </w:style>
  <w:style w:type="paragraph" w:customStyle="1" w:styleId="IvDbodytext">
    <w:name w:val="IvD bodytext"/>
    <w:basedOn w:val="BodyText"/>
    <w:link w:val="IvDbodytextChar"/>
    <w:qFormat/>
    <w:rsid w:val="009A6063"/>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cs="Arial"/>
      <w:spacing w:val="2"/>
      <w:sz w:val="22"/>
      <w:lang w:val="en-GB" w:eastAsia="en-GB"/>
    </w:rPr>
  </w:style>
  <w:style w:type="character" w:styleId="UnresolvedMention">
    <w:name w:val="Unresolved Mention"/>
    <w:basedOn w:val="DefaultParagraphFont"/>
    <w:uiPriority w:val="99"/>
    <w:unhideWhenUsed/>
    <w:rsid w:val="00371B09"/>
    <w:rPr>
      <w:color w:val="605E5C"/>
      <w:shd w:val="clear" w:color="auto" w:fill="E1DFDD"/>
    </w:rPr>
  </w:style>
  <w:style w:type="character" w:styleId="Mention">
    <w:name w:val="Mention"/>
    <w:basedOn w:val="DefaultParagraphFont"/>
    <w:uiPriority w:val="99"/>
    <w:unhideWhenUsed/>
    <w:rsid w:val="00371B09"/>
    <w:rPr>
      <w:color w:val="2B579A"/>
      <w:shd w:val="clear" w:color="auto" w:fill="E1DFDD"/>
    </w:rPr>
  </w:style>
  <w:style w:type="character" w:customStyle="1" w:styleId="ReferenceChar">
    <w:name w:val="Reference Char"/>
    <w:link w:val="Reference"/>
    <w:rsid w:val="003A371B"/>
    <w:rPr>
      <w:rFonts w:ascii="Arial" w:eastAsiaTheme="minorHAnsi" w:hAnsi="Arial" w:cstheme="minorBidi"/>
      <w:szCs w:val="22"/>
      <w:lang w:val="en-US" w:eastAsia="zh-CN"/>
    </w:rPr>
  </w:style>
  <w:style w:type="character" w:styleId="PlaceholderText">
    <w:name w:val="Placeholder Text"/>
    <w:uiPriority w:val="99"/>
    <w:semiHidden/>
    <w:rsid w:val="00030DAA"/>
    <w:rPr>
      <w:color w:val="808080"/>
    </w:rPr>
  </w:style>
  <w:style w:type="character" w:customStyle="1" w:styleId="TALChar">
    <w:name w:val="TAL Char"/>
    <w:qFormat/>
    <w:rsid w:val="00A3591A"/>
    <w:rPr>
      <w:rFonts w:ascii="Arial" w:eastAsia="Times New Roman" w:hAnsi="Arial"/>
      <w:sz w:val="18"/>
    </w:rPr>
  </w:style>
  <w:style w:type="character" w:customStyle="1" w:styleId="TACChar">
    <w:name w:val="TAC Char"/>
    <w:link w:val="TAC"/>
    <w:qFormat/>
    <w:locked/>
    <w:rsid w:val="00A3591A"/>
    <w:rPr>
      <w:rFonts w:ascii="Arial" w:eastAsiaTheme="minorHAnsi" w:hAnsi="Arial" w:cstheme="minorBidi"/>
      <w:sz w:val="18"/>
      <w:szCs w:val="22"/>
      <w:lang w:val="x-none" w:eastAsia="x-none"/>
    </w:rPr>
  </w:style>
  <w:style w:type="paragraph" w:styleId="Revision">
    <w:name w:val="Revision"/>
    <w:hidden/>
    <w:uiPriority w:val="99"/>
    <w:semiHidden/>
    <w:rsid w:val="00A438B4"/>
    <w:rPr>
      <w:rFonts w:ascii="Arial" w:eastAsiaTheme="minorHAnsi" w:hAnsi="Arial" w:cstheme="minorBidi"/>
      <w:szCs w:val="22"/>
      <w:lang w:val="en-US" w:eastAsia="en-US"/>
    </w:rPr>
  </w:style>
  <w:style w:type="character" w:customStyle="1" w:styleId="emoticon-hidden-text">
    <w:name w:val="emoticon-hidden-text"/>
    <w:basedOn w:val="DefaultParagraphFont"/>
    <w:rsid w:val="0020538D"/>
  </w:style>
  <w:style w:type="character" w:customStyle="1" w:styleId="apple-converted-space">
    <w:name w:val="apple-converted-space"/>
    <w:qFormat/>
    <w:rsid w:val="00BC21DD"/>
  </w:style>
  <w:style w:type="character" w:customStyle="1" w:styleId="B1Zchn">
    <w:name w:val="B1 Zchn"/>
    <w:qFormat/>
    <w:rsid w:val="000772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8313">
      <w:bodyDiv w:val="1"/>
      <w:marLeft w:val="0"/>
      <w:marRight w:val="0"/>
      <w:marTop w:val="0"/>
      <w:marBottom w:val="0"/>
      <w:divBdr>
        <w:top w:val="none" w:sz="0" w:space="0" w:color="auto"/>
        <w:left w:val="none" w:sz="0" w:space="0" w:color="auto"/>
        <w:bottom w:val="none" w:sz="0" w:space="0" w:color="auto"/>
        <w:right w:val="none" w:sz="0" w:space="0" w:color="auto"/>
      </w:divBdr>
      <w:divsChild>
        <w:div w:id="444351296">
          <w:marLeft w:val="547"/>
          <w:marRight w:val="0"/>
          <w:marTop w:val="0"/>
          <w:marBottom w:val="160"/>
          <w:divBdr>
            <w:top w:val="none" w:sz="0" w:space="0" w:color="auto"/>
            <w:left w:val="none" w:sz="0" w:space="0" w:color="auto"/>
            <w:bottom w:val="none" w:sz="0" w:space="0" w:color="auto"/>
            <w:right w:val="none" w:sz="0" w:space="0" w:color="auto"/>
          </w:divBdr>
        </w:div>
      </w:divsChild>
    </w:div>
    <w:div w:id="45222370">
      <w:bodyDiv w:val="1"/>
      <w:marLeft w:val="0"/>
      <w:marRight w:val="0"/>
      <w:marTop w:val="0"/>
      <w:marBottom w:val="0"/>
      <w:divBdr>
        <w:top w:val="none" w:sz="0" w:space="0" w:color="auto"/>
        <w:left w:val="none" w:sz="0" w:space="0" w:color="auto"/>
        <w:bottom w:val="none" w:sz="0" w:space="0" w:color="auto"/>
        <w:right w:val="none" w:sz="0" w:space="0" w:color="auto"/>
      </w:divBdr>
    </w:div>
    <w:div w:id="110589493">
      <w:bodyDiv w:val="1"/>
      <w:marLeft w:val="0"/>
      <w:marRight w:val="0"/>
      <w:marTop w:val="0"/>
      <w:marBottom w:val="0"/>
      <w:divBdr>
        <w:top w:val="none" w:sz="0" w:space="0" w:color="auto"/>
        <w:left w:val="none" w:sz="0" w:space="0" w:color="auto"/>
        <w:bottom w:val="none" w:sz="0" w:space="0" w:color="auto"/>
        <w:right w:val="none" w:sz="0" w:space="0" w:color="auto"/>
      </w:divBdr>
    </w:div>
    <w:div w:id="157888719">
      <w:bodyDiv w:val="1"/>
      <w:marLeft w:val="0"/>
      <w:marRight w:val="0"/>
      <w:marTop w:val="0"/>
      <w:marBottom w:val="0"/>
      <w:divBdr>
        <w:top w:val="none" w:sz="0" w:space="0" w:color="auto"/>
        <w:left w:val="none" w:sz="0" w:space="0" w:color="auto"/>
        <w:bottom w:val="none" w:sz="0" w:space="0" w:color="auto"/>
        <w:right w:val="none" w:sz="0" w:space="0" w:color="auto"/>
      </w:divBdr>
    </w:div>
    <w:div w:id="166794765">
      <w:bodyDiv w:val="1"/>
      <w:marLeft w:val="0"/>
      <w:marRight w:val="0"/>
      <w:marTop w:val="0"/>
      <w:marBottom w:val="0"/>
      <w:divBdr>
        <w:top w:val="none" w:sz="0" w:space="0" w:color="auto"/>
        <w:left w:val="none" w:sz="0" w:space="0" w:color="auto"/>
        <w:bottom w:val="none" w:sz="0" w:space="0" w:color="auto"/>
        <w:right w:val="none" w:sz="0" w:space="0" w:color="auto"/>
      </w:divBdr>
    </w:div>
    <w:div w:id="245578090">
      <w:bodyDiv w:val="1"/>
      <w:marLeft w:val="0"/>
      <w:marRight w:val="0"/>
      <w:marTop w:val="0"/>
      <w:marBottom w:val="0"/>
      <w:divBdr>
        <w:top w:val="none" w:sz="0" w:space="0" w:color="auto"/>
        <w:left w:val="none" w:sz="0" w:space="0" w:color="auto"/>
        <w:bottom w:val="none" w:sz="0" w:space="0" w:color="auto"/>
        <w:right w:val="none" w:sz="0" w:space="0" w:color="auto"/>
      </w:divBdr>
      <w:divsChild>
        <w:div w:id="488638169">
          <w:marLeft w:val="547"/>
          <w:marRight w:val="0"/>
          <w:marTop w:val="0"/>
          <w:marBottom w:val="160"/>
          <w:divBdr>
            <w:top w:val="none" w:sz="0" w:space="0" w:color="auto"/>
            <w:left w:val="none" w:sz="0" w:space="0" w:color="auto"/>
            <w:bottom w:val="none" w:sz="0" w:space="0" w:color="auto"/>
            <w:right w:val="none" w:sz="0" w:space="0" w:color="auto"/>
          </w:divBdr>
        </w:div>
        <w:div w:id="1299918938">
          <w:marLeft w:val="547"/>
          <w:marRight w:val="0"/>
          <w:marTop w:val="0"/>
          <w:marBottom w:val="160"/>
          <w:divBdr>
            <w:top w:val="none" w:sz="0" w:space="0" w:color="auto"/>
            <w:left w:val="none" w:sz="0" w:space="0" w:color="auto"/>
            <w:bottom w:val="none" w:sz="0" w:space="0" w:color="auto"/>
            <w:right w:val="none" w:sz="0" w:space="0" w:color="auto"/>
          </w:divBdr>
        </w:div>
        <w:div w:id="412778162">
          <w:marLeft w:val="547"/>
          <w:marRight w:val="0"/>
          <w:marTop w:val="0"/>
          <w:marBottom w:val="160"/>
          <w:divBdr>
            <w:top w:val="none" w:sz="0" w:space="0" w:color="auto"/>
            <w:left w:val="none" w:sz="0" w:space="0" w:color="auto"/>
            <w:bottom w:val="none" w:sz="0" w:space="0" w:color="auto"/>
            <w:right w:val="none" w:sz="0" w:space="0" w:color="auto"/>
          </w:divBdr>
        </w:div>
      </w:divsChild>
    </w:div>
    <w:div w:id="271087590">
      <w:bodyDiv w:val="1"/>
      <w:marLeft w:val="0"/>
      <w:marRight w:val="0"/>
      <w:marTop w:val="0"/>
      <w:marBottom w:val="0"/>
      <w:divBdr>
        <w:top w:val="none" w:sz="0" w:space="0" w:color="auto"/>
        <w:left w:val="none" w:sz="0" w:space="0" w:color="auto"/>
        <w:bottom w:val="none" w:sz="0" w:space="0" w:color="auto"/>
        <w:right w:val="none" w:sz="0" w:space="0" w:color="auto"/>
      </w:divBdr>
      <w:divsChild>
        <w:div w:id="1829980703">
          <w:marLeft w:val="547"/>
          <w:marRight w:val="0"/>
          <w:marTop w:val="0"/>
          <w:marBottom w:val="160"/>
          <w:divBdr>
            <w:top w:val="none" w:sz="0" w:space="0" w:color="auto"/>
            <w:left w:val="none" w:sz="0" w:space="0" w:color="auto"/>
            <w:bottom w:val="none" w:sz="0" w:space="0" w:color="auto"/>
            <w:right w:val="none" w:sz="0" w:space="0" w:color="auto"/>
          </w:divBdr>
        </w:div>
        <w:div w:id="173569259">
          <w:marLeft w:val="547"/>
          <w:marRight w:val="0"/>
          <w:marTop w:val="0"/>
          <w:marBottom w:val="160"/>
          <w:divBdr>
            <w:top w:val="none" w:sz="0" w:space="0" w:color="auto"/>
            <w:left w:val="none" w:sz="0" w:space="0" w:color="auto"/>
            <w:bottom w:val="none" w:sz="0" w:space="0" w:color="auto"/>
            <w:right w:val="none" w:sz="0" w:space="0" w:color="auto"/>
          </w:divBdr>
        </w:div>
        <w:div w:id="270363176">
          <w:marLeft w:val="547"/>
          <w:marRight w:val="0"/>
          <w:marTop w:val="0"/>
          <w:marBottom w:val="160"/>
          <w:divBdr>
            <w:top w:val="none" w:sz="0" w:space="0" w:color="auto"/>
            <w:left w:val="none" w:sz="0" w:space="0" w:color="auto"/>
            <w:bottom w:val="none" w:sz="0" w:space="0" w:color="auto"/>
            <w:right w:val="none" w:sz="0" w:space="0" w:color="auto"/>
          </w:divBdr>
        </w:div>
        <w:div w:id="984623830">
          <w:marLeft w:val="547"/>
          <w:marRight w:val="0"/>
          <w:marTop w:val="0"/>
          <w:marBottom w:val="160"/>
          <w:divBdr>
            <w:top w:val="none" w:sz="0" w:space="0" w:color="auto"/>
            <w:left w:val="none" w:sz="0" w:space="0" w:color="auto"/>
            <w:bottom w:val="none" w:sz="0" w:space="0" w:color="auto"/>
            <w:right w:val="none" w:sz="0" w:space="0" w:color="auto"/>
          </w:divBdr>
        </w:div>
        <w:div w:id="307714401">
          <w:marLeft w:val="547"/>
          <w:marRight w:val="0"/>
          <w:marTop w:val="0"/>
          <w:marBottom w:val="160"/>
          <w:divBdr>
            <w:top w:val="none" w:sz="0" w:space="0" w:color="auto"/>
            <w:left w:val="none" w:sz="0" w:space="0" w:color="auto"/>
            <w:bottom w:val="none" w:sz="0" w:space="0" w:color="auto"/>
            <w:right w:val="none" w:sz="0" w:space="0" w:color="auto"/>
          </w:divBdr>
        </w:div>
      </w:divsChild>
    </w:div>
    <w:div w:id="283776469">
      <w:bodyDiv w:val="1"/>
      <w:marLeft w:val="0"/>
      <w:marRight w:val="0"/>
      <w:marTop w:val="0"/>
      <w:marBottom w:val="0"/>
      <w:divBdr>
        <w:top w:val="none" w:sz="0" w:space="0" w:color="auto"/>
        <w:left w:val="none" w:sz="0" w:space="0" w:color="auto"/>
        <w:bottom w:val="none" w:sz="0" w:space="0" w:color="auto"/>
        <w:right w:val="none" w:sz="0" w:space="0" w:color="auto"/>
      </w:divBdr>
      <w:divsChild>
        <w:div w:id="1354839263">
          <w:marLeft w:val="1526"/>
          <w:marRight w:val="0"/>
          <w:marTop w:val="0"/>
          <w:marBottom w:val="0"/>
          <w:divBdr>
            <w:top w:val="none" w:sz="0" w:space="0" w:color="auto"/>
            <w:left w:val="none" w:sz="0" w:space="0" w:color="auto"/>
            <w:bottom w:val="none" w:sz="0" w:space="0" w:color="auto"/>
            <w:right w:val="none" w:sz="0" w:space="0" w:color="auto"/>
          </w:divBdr>
        </w:div>
        <w:div w:id="1277641784">
          <w:marLeft w:val="2246"/>
          <w:marRight w:val="0"/>
          <w:marTop w:val="0"/>
          <w:marBottom w:val="0"/>
          <w:divBdr>
            <w:top w:val="none" w:sz="0" w:space="0" w:color="auto"/>
            <w:left w:val="none" w:sz="0" w:space="0" w:color="auto"/>
            <w:bottom w:val="none" w:sz="0" w:space="0" w:color="auto"/>
            <w:right w:val="none" w:sz="0" w:space="0" w:color="auto"/>
          </w:divBdr>
        </w:div>
        <w:div w:id="1403793432">
          <w:marLeft w:val="1526"/>
          <w:marRight w:val="0"/>
          <w:marTop w:val="0"/>
          <w:marBottom w:val="0"/>
          <w:divBdr>
            <w:top w:val="none" w:sz="0" w:space="0" w:color="auto"/>
            <w:left w:val="none" w:sz="0" w:space="0" w:color="auto"/>
            <w:bottom w:val="none" w:sz="0" w:space="0" w:color="auto"/>
            <w:right w:val="none" w:sz="0" w:space="0" w:color="auto"/>
          </w:divBdr>
        </w:div>
        <w:div w:id="1636636329">
          <w:marLeft w:val="2246"/>
          <w:marRight w:val="0"/>
          <w:marTop w:val="0"/>
          <w:marBottom w:val="0"/>
          <w:divBdr>
            <w:top w:val="none" w:sz="0" w:space="0" w:color="auto"/>
            <w:left w:val="none" w:sz="0" w:space="0" w:color="auto"/>
            <w:bottom w:val="none" w:sz="0" w:space="0" w:color="auto"/>
            <w:right w:val="none" w:sz="0" w:space="0" w:color="auto"/>
          </w:divBdr>
        </w:div>
        <w:div w:id="820972334">
          <w:marLeft w:val="547"/>
          <w:marRight w:val="0"/>
          <w:marTop w:val="0"/>
          <w:marBottom w:val="0"/>
          <w:divBdr>
            <w:top w:val="none" w:sz="0" w:space="0" w:color="auto"/>
            <w:left w:val="none" w:sz="0" w:space="0" w:color="auto"/>
            <w:bottom w:val="none" w:sz="0" w:space="0" w:color="auto"/>
            <w:right w:val="none" w:sz="0" w:space="0" w:color="auto"/>
          </w:divBdr>
        </w:div>
        <w:div w:id="1836072610">
          <w:marLeft w:val="547"/>
          <w:marRight w:val="0"/>
          <w:marTop w:val="0"/>
          <w:marBottom w:val="0"/>
          <w:divBdr>
            <w:top w:val="none" w:sz="0" w:space="0" w:color="auto"/>
            <w:left w:val="none" w:sz="0" w:space="0" w:color="auto"/>
            <w:bottom w:val="none" w:sz="0" w:space="0" w:color="auto"/>
            <w:right w:val="none" w:sz="0" w:space="0" w:color="auto"/>
          </w:divBdr>
        </w:div>
        <w:div w:id="1762138131">
          <w:marLeft w:val="547"/>
          <w:marRight w:val="0"/>
          <w:marTop w:val="0"/>
          <w:marBottom w:val="0"/>
          <w:divBdr>
            <w:top w:val="none" w:sz="0" w:space="0" w:color="auto"/>
            <w:left w:val="none" w:sz="0" w:space="0" w:color="auto"/>
            <w:bottom w:val="none" w:sz="0" w:space="0" w:color="auto"/>
            <w:right w:val="none" w:sz="0" w:space="0" w:color="auto"/>
          </w:divBdr>
        </w:div>
      </w:divsChild>
    </w:div>
    <w:div w:id="443161505">
      <w:bodyDiv w:val="1"/>
      <w:marLeft w:val="0"/>
      <w:marRight w:val="0"/>
      <w:marTop w:val="0"/>
      <w:marBottom w:val="0"/>
      <w:divBdr>
        <w:top w:val="none" w:sz="0" w:space="0" w:color="auto"/>
        <w:left w:val="none" w:sz="0" w:space="0" w:color="auto"/>
        <w:bottom w:val="none" w:sz="0" w:space="0" w:color="auto"/>
        <w:right w:val="none" w:sz="0" w:space="0" w:color="auto"/>
      </w:divBdr>
      <w:divsChild>
        <w:div w:id="64188612">
          <w:marLeft w:val="547"/>
          <w:marRight w:val="0"/>
          <w:marTop w:val="0"/>
          <w:marBottom w:val="0"/>
          <w:divBdr>
            <w:top w:val="none" w:sz="0" w:space="0" w:color="auto"/>
            <w:left w:val="none" w:sz="0" w:space="0" w:color="auto"/>
            <w:bottom w:val="none" w:sz="0" w:space="0" w:color="auto"/>
            <w:right w:val="none" w:sz="0" w:space="0" w:color="auto"/>
          </w:divBdr>
        </w:div>
        <w:div w:id="1062673980">
          <w:marLeft w:val="547"/>
          <w:marRight w:val="0"/>
          <w:marTop w:val="0"/>
          <w:marBottom w:val="0"/>
          <w:divBdr>
            <w:top w:val="none" w:sz="0" w:space="0" w:color="auto"/>
            <w:left w:val="none" w:sz="0" w:space="0" w:color="auto"/>
            <w:bottom w:val="none" w:sz="0" w:space="0" w:color="auto"/>
            <w:right w:val="none" w:sz="0" w:space="0" w:color="auto"/>
          </w:divBdr>
        </w:div>
        <w:div w:id="1073040196">
          <w:marLeft w:val="547"/>
          <w:marRight w:val="0"/>
          <w:marTop w:val="0"/>
          <w:marBottom w:val="0"/>
          <w:divBdr>
            <w:top w:val="none" w:sz="0" w:space="0" w:color="auto"/>
            <w:left w:val="none" w:sz="0" w:space="0" w:color="auto"/>
            <w:bottom w:val="none" w:sz="0" w:space="0" w:color="auto"/>
            <w:right w:val="none" w:sz="0" w:space="0" w:color="auto"/>
          </w:divBdr>
        </w:div>
        <w:div w:id="1176919695">
          <w:marLeft w:val="547"/>
          <w:marRight w:val="0"/>
          <w:marTop w:val="0"/>
          <w:marBottom w:val="0"/>
          <w:divBdr>
            <w:top w:val="none" w:sz="0" w:space="0" w:color="auto"/>
            <w:left w:val="none" w:sz="0" w:space="0" w:color="auto"/>
            <w:bottom w:val="none" w:sz="0" w:space="0" w:color="auto"/>
            <w:right w:val="none" w:sz="0" w:space="0" w:color="auto"/>
          </w:divBdr>
        </w:div>
        <w:div w:id="1802111897">
          <w:marLeft w:val="547"/>
          <w:marRight w:val="0"/>
          <w:marTop w:val="0"/>
          <w:marBottom w:val="0"/>
          <w:divBdr>
            <w:top w:val="none" w:sz="0" w:space="0" w:color="auto"/>
            <w:left w:val="none" w:sz="0" w:space="0" w:color="auto"/>
            <w:bottom w:val="none" w:sz="0" w:space="0" w:color="auto"/>
            <w:right w:val="none" w:sz="0" w:space="0" w:color="auto"/>
          </w:divBdr>
        </w:div>
      </w:divsChild>
    </w:div>
    <w:div w:id="496578679">
      <w:bodyDiv w:val="1"/>
      <w:marLeft w:val="0"/>
      <w:marRight w:val="0"/>
      <w:marTop w:val="0"/>
      <w:marBottom w:val="0"/>
      <w:divBdr>
        <w:top w:val="none" w:sz="0" w:space="0" w:color="auto"/>
        <w:left w:val="none" w:sz="0" w:space="0" w:color="auto"/>
        <w:bottom w:val="none" w:sz="0" w:space="0" w:color="auto"/>
        <w:right w:val="none" w:sz="0" w:space="0" w:color="auto"/>
      </w:divBdr>
      <w:divsChild>
        <w:div w:id="2056151547">
          <w:marLeft w:val="547"/>
          <w:marRight w:val="0"/>
          <w:marTop w:val="0"/>
          <w:marBottom w:val="160"/>
          <w:divBdr>
            <w:top w:val="none" w:sz="0" w:space="0" w:color="auto"/>
            <w:left w:val="none" w:sz="0" w:space="0" w:color="auto"/>
            <w:bottom w:val="none" w:sz="0" w:space="0" w:color="auto"/>
            <w:right w:val="none" w:sz="0" w:space="0" w:color="auto"/>
          </w:divBdr>
        </w:div>
        <w:div w:id="2077896621">
          <w:marLeft w:val="1166"/>
          <w:marRight w:val="0"/>
          <w:marTop w:val="0"/>
          <w:marBottom w:val="160"/>
          <w:divBdr>
            <w:top w:val="none" w:sz="0" w:space="0" w:color="auto"/>
            <w:left w:val="none" w:sz="0" w:space="0" w:color="auto"/>
            <w:bottom w:val="none" w:sz="0" w:space="0" w:color="auto"/>
            <w:right w:val="none" w:sz="0" w:space="0" w:color="auto"/>
          </w:divBdr>
        </w:div>
      </w:divsChild>
    </w:div>
    <w:div w:id="551769573">
      <w:bodyDiv w:val="1"/>
      <w:marLeft w:val="0"/>
      <w:marRight w:val="0"/>
      <w:marTop w:val="0"/>
      <w:marBottom w:val="0"/>
      <w:divBdr>
        <w:top w:val="none" w:sz="0" w:space="0" w:color="auto"/>
        <w:left w:val="none" w:sz="0" w:space="0" w:color="auto"/>
        <w:bottom w:val="none" w:sz="0" w:space="0" w:color="auto"/>
        <w:right w:val="none" w:sz="0" w:space="0" w:color="auto"/>
      </w:divBdr>
    </w:div>
    <w:div w:id="552280509">
      <w:bodyDiv w:val="1"/>
      <w:marLeft w:val="0"/>
      <w:marRight w:val="0"/>
      <w:marTop w:val="0"/>
      <w:marBottom w:val="0"/>
      <w:divBdr>
        <w:top w:val="none" w:sz="0" w:space="0" w:color="auto"/>
        <w:left w:val="none" w:sz="0" w:space="0" w:color="auto"/>
        <w:bottom w:val="none" w:sz="0" w:space="0" w:color="auto"/>
        <w:right w:val="none" w:sz="0" w:space="0" w:color="auto"/>
      </w:divBdr>
    </w:div>
    <w:div w:id="641350518">
      <w:bodyDiv w:val="1"/>
      <w:marLeft w:val="0"/>
      <w:marRight w:val="0"/>
      <w:marTop w:val="0"/>
      <w:marBottom w:val="0"/>
      <w:divBdr>
        <w:top w:val="none" w:sz="0" w:space="0" w:color="auto"/>
        <w:left w:val="none" w:sz="0" w:space="0" w:color="auto"/>
        <w:bottom w:val="none" w:sz="0" w:space="0" w:color="auto"/>
        <w:right w:val="none" w:sz="0" w:space="0" w:color="auto"/>
      </w:divBdr>
      <w:divsChild>
        <w:div w:id="1793206489">
          <w:marLeft w:val="547"/>
          <w:marRight w:val="0"/>
          <w:marTop w:val="0"/>
          <w:marBottom w:val="0"/>
          <w:divBdr>
            <w:top w:val="none" w:sz="0" w:space="0" w:color="auto"/>
            <w:left w:val="none" w:sz="0" w:space="0" w:color="auto"/>
            <w:bottom w:val="none" w:sz="0" w:space="0" w:color="auto"/>
            <w:right w:val="none" w:sz="0" w:space="0" w:color="auto"/>
          </w:divBdr>
        </w:div>
        <w:div w:id="1900550163">
          <w:marLeft w:val="547"/>
          <w:marRight w:val="0"/>
          <w:marTop w:val="0"/>
          <w:marBottom w:val="0"/>
          <w:divBdr>
            <w:top w:val="none" w:sz="0" w:space="0" w:color="auto"/>
            <w:left w:val="none" w:sz="0" w:space="0" w:color="auto"/>
            <w:bottom w:val="none" w:sz="0" w:space="0" w:color="auto"/>
            <w:right w:val="none" w:sz="0" w:space="0" w:color="auto"/>
          </w:divBdr>
        </w:div>
      </w:divsChild>
    </w:div>
    <w:div w:id="645282338">
      <w:bodyDiv w:val="1"/>
      <w:marLeft w:val="0"/>
      <w:marRight w:val="0"/>
      <w:marTop w:val="0"/>
      <w:marBottom w:val="0"/>
      <w:divBdr>
        <w:top w:val="none" w:sz="0" w:space="0" w:color="auto"/>
        <w:left w:val="none" w:sz="0" w:space="0" w:color="auto"/>
        <w:bottom w:val="none" w:sz="0" w:space="0" w:color="auto"/>
        <w:right w:val="none" w:sz="0" w:space="0" w:color="auto"/>
      </w:divBdr>
    </w:div>
    <w:div w:id="696783386">
      <w:bodyDiv w:val="1"/>
      <w:marLeft w:val="0"/>
      <w:marRight w:val="0"/>
      <w:marTop w:val="0"/>
      <w:marBottom w:val="0"/>
      <w:divBdr>
        <w:top w:val="none" w:sz="0" w:space="0" w:color="auto"/>
        <w:left w:val="none" w:sz="0" w:space="0" w:color="auto"/>
        <w:bottom w:val="none" w:sz="0" w:space="0" w:color="auto"/>
        <w:right w:val="none" w:sz="0" w:space="0" w:color="auto"/>
      </w:divBdr>
      <w:divsChild>
        <w:div w:id="110173238">
          <w:marLeft w:val="547"/>
          <w:marRight w:val="0"/>
          <w:marTop w:val="0"/>
          <w:marBottom w:val="160"/>
          <w:divBdr>
            <w:top w:val="none" w:sz="0" w:space="0" w:color="auto"/>
            <w:left w:val="none" w:sz="0" w:space="0" w:color="auto"/>
            <w:bottom w:val="none" w:sz="0" w:space="0" w:color="auto"/>
            <w:right w:val="none" w:sz="0" w:space="0" w:color="auto"/>
          </w:divBdr>
        </w:div>
        <w:div w:id="1126855547">
          <w:marLeft w:val="547"/>
          <w:marRight w:val="0"/>
          <w:marTop w:val="0"/>
          <w:marBottom w:val="160"/>
          <w:divBdr>
            <w:top w:val="none" w:sz="0" w:space="0" w:color="auto"/>
            <w:left w:val="none" w:sz="0" w:space="0" w:color="auto"/>
            <w:bottom w:val="none" w:sz="0" w:space="0" w:color="auto"/>
            <w:right w:val="none" w:sz="0" w:space="0" w:color="auto"/>
          </w:divBdr>
        </w:div>
        <w:div w:id="355615049">
          <w:marLeft w:val="547"/>
          <w:marRight w:val="0"/>
          <w:marTop w:val="0"/>
          <w:marBottom w:val="160"/>
          <w:divBdr>
            <w:top w:val="none" w:sz="0" w:space="0" w:color="auto"/>
            <w:left w:val="none" w:sz="0" w:space="0" w:color="auto"/>
            <w:bottom w:val="none" w:sz="0" w:space="0" w:color="auto"/>
            <w:right w:val="none" w:sz="0" w:space="0" w:color="auto"/>
          </w:divBdr>
        </w:div>
      </w:divsChild>
    </w:div>
    <w:div w:id="728843056">
      <w:bodyDiv w:val="1"/>
      <w:marLeft w:val="0"/>
      <w:marRight w:val="0"/>
      <w:marTop w:val="0"/>
      <w:marBottom w:val="0"/>
      <w:divBdr>
        <w:top w:val="none" w:sz="0" w:space="0" w:color="auto"/>
        <w:left w:val="none" w:sz="0" w:space="0" w:color="auto"/>
        <w:bottom w:val="none" w:sz="0" w:space="0" w:color="auto"/>
        <w:right w:val="none" w:sz="0" w:space="0" w:color="auto"/>
      </w:divBdr>
      <w:divsChild>
        <w:div w:id="1023870524">
          <w:marLeft w:val="547"/>
          <w:marRight w:val="0"/>
          <w:marTop w:val="0"/>
          <w:marBottom w:val="160"/>
          <w:divBdr>
            <w:top w:val="none" w:sz="0" w:space="0" w:color="auto"/>
            <w:left w:val="none" w:sz="0" w:space="0" w:color="auto"/>
            <w:bottom w:val="none" w:sz="0" w:space="0" w:color="auto"/>
            <w:right w:val="none" w:sz="0" w:space="0" w:color="auto"/>
          </w:divBdr>
        </w:div>
        <w:div w:id="1341735536">
          <w:marLeft w:val="547"/>
          <w:marRight w:val="0"/>
          <w:marTop w:val="0"/>
          <w:marBottom w:val="160"/>
          <w:divBdr>
            <w:top w:val="none" w:sz="0" w:space="0" w:color="auto"/>
            <w:left w:val="none" w:sz="0" w:space="0" w:color="auto"/>
            <w:bottom w:val="none" w:sz="0" w:space="0" w:color="auto"/>
            <w:right w:val="none" w:sz="0" w:space="0" w:color="auto"/>
          </w:divBdr>
        </w:div>
        <w:div w:id="863131278">
          <w:marLeft w:val="547"/>
          <w:marRight w:val="0"/>
          <w:marTop w:val="0"/>
          <w:marBottom w:val="160"/>
          <w:divBdr>
            <w:top w:val="none" w:sz="0" w:space="0" w:color="auto"/>
            <w:left w:val="none" w:sz="0" w:space="0" w:color="auto"/>
            <w:bottom w:val="none" w:sz="0" w:space="0" w:color="auto"/>
            <w:right w:val="none" w:sz="0" w:space="0" w:color="auto"/>
          </w:divBdr>
        </w:div>
      </w:divsChild>
    </w:div>
    <w:div w:id="819662911">
      <w:bodyDiv w:val="1"/>
      <w:marLeft w:val="0"/>
      <w:marRight w:val="0"/>
      <w:marTop w:val="0"/>
      <w:marBottom w:val="0"/>
      <w:divBdr>
        <w:top w:val="none" w:sz="0" w:space="0" w:color="auto"/>
        <w:left w:val="none" w:sz="0" w:space="0" w:color="auto"/>
        <w:bottom w:val="none" w:sz="0" w:space="0" w:color="auto"/>
        <w:right w:val="none" w:sz="0" w:space="0" w:color="auto"/>
      </w:divBdr>
    </w:div>
    <w:div w:id="862942940">
      <w:bodyDiv w:val="1"/>
      <w:marLeft w:val="0"/>
      <w:marRight w:val="0"/>
      <w:marTop w:val="0"/>
      <w:marBottom w:val="0"/>
      <w:divBdr>
        <w:top w:val="none" w:sz="0" w:space="0" w:color="auto"/>
        <w:left w:val="none" w:sz="0" w:space="0" w:color="auto"/>
        <w:bottom w:val="none" w:sz="0" w:space="0" w:color="auto"/>
        <w:right w:val="none" w:sz="0" w:space="0" w:color="auto"/>
      </w:divBdr>
      <w:divsChild>
        <w:div w:id="676544838">
          <w:marLeft w:val="547"/>
          <w:marRight w:val="0"/>
          <w:marTop w:val="0"/>
          <w:marBottom w:val="0"/>
          <w:divBdr>
            <w:top w:val="none" w:sz="0" w:space="0" w:color="auto"/>
            <w:left w:val="none" w:sz="0" w:space="0" w:color="auto"/>
            <w:bottom w:val="none" w:sz="0" w:space="0" w:color="auto"/>
            <w:right w:val="none" w:sz="0" w:space="0" w:color="auto"/>
          </w:divBdr>
        </w:div>
      </w:divsChild>
    </w:div>
    <w:div w:id="947081886">
      <w:bodyDiv w:val="1"/>
      <w:marLeft w:val="0"/>
      <w:marRight w:val="0"/>
      <w:marTop w:val="0"/>
      <w:marBottom w:val="0"/>
      <w:divBdr>
        <w:top w:val="none" w:sz="0" w:space="0" w:color="auto"/>
        <w:left w:val="none" w:sz="0" w:space="0" w:color="auto"/>
        <w:bottom w:val="none" w:sz="0" w:space="0" w:color="auto"/>
        <w:right w:val="none" w:sz="0" w:space="0" w:color="auto"/>
      </w:divBdr>
      <w:divsChild>
        <w:div w:id="113599685">
          <w:marLeft w:val="547"/>
          <w:marRight w:val="0"/>
          <w:marTop w:val="0"/>
          <w:marBottom w:val="0"/>
          <w:divBdr>
            <w:top w:val="none" w:sz="0" w:space="0" w:color="auto"/>
            <w:left w:val="none" w:sz="0" w:space="0" w:color="auto"/>
            <w:bottom w:val="none" w:sz="0" w:space="0" w:color="auto"/>
            <w:right w:val="none" w:sz="0" w:space="0" w:color="auto"/>
          </w:divBdr>
        </w:div>
        <w:div w:id="583807215">
          <w:marLeft w:val="547"/>
          <w:marRight w:val="0"/>
          <w:marTop w:val="0"/>
          <w:marBottom w:val="0"/>
          <w:divBdr>
            <w:top w:val="none" w:sz="0" w:space="0" w:color="auto"/>
            <w:left w:val="none" w:sz="0" w:space="0" w:color="auto"/>
            <w:bottom w:val="none" w:sz="0" w:space="0" w:color="auto"/>
            <w:right w:val="none" w:sz="0" w:space="0" w:color="auto"/>
          </w:divBdr>
        </w:div>
        <w:div w:id="1121805334">
          <w:marLeft w:val="547"/>
          <w:marRight w:val="0"/>
          <w:marTop w:val="0"/>
          <w:marBottom w:val="0"/>
          <w:divBdr>
            <w:top w:val="none" w:sz="0" w:space="0" w:color="auto"/>
            <w:left w:val="none" w:sz="0" w:space="0" w:color="auto"/>
            <w:bottom w:val="none" w:sz="0" w:space="0" w:color="auto"/>
            <w:right w:val="none" w:sz="0" w:space="0" w:color="auto"/>
          </w:divBdr>
        </w:div>
        <w:div w:id="1990818409">
          <w:marLeft w:val="547"/>
          <w:marRight w:val="0"/>
          <w:marTop w:val="0"/>
          <w:marBottom w:val="0"/>
          <w:divBdr>
            <w:top w:val="none" w:sz="0" w:space="0" w:color="auto"/>
            <w:left w:val="none" w:sz="0" w:space="0" w:color="auto"/>
            <w:bottom w:val="none" w:sz="0" w:space="0" w:color="auto"/>
            <w:right w:val="none" w:sz="0" w:space="0" w:color="auto"/>
          </w:divBdr>
        </w:div>
      </w:divsChild>
    </w:div>
    <w:div w:id="977608943">
      <w:bodyDiv w:val="1"/>
      <w:marLeft w:val="0"/>
      <w:marRight w:val="0"/>
      <w:marTop w:val="0"/>
      <w:marBottom w:val="0"/>
      <w:divBdr>
        <w:top w:val="none" w:sz="0" w:space="0" w:color="auto"/>
        <w:left w:val="none" w:sz="0" w:space="0" w:color="auto"/>
        <w:bottom w:val="none" w:sz="0" w:space="0" w:color="auto"/>
        <w:right w:val="none" w:sz="0" w:space="0" w:color="auto"/>
      </w:divBdr>
      <w:divsChild>
        <w:div w:id="605817821">
          <w:marLeft w:val="547"/>
          <w:marRight w:val="0"/>
          <w:marTop w:val="0"/>
          <w:marBottom w:val="160"/>
          <w:divBdr>
            <w:top w:val="none" w:sz="0" w:space="0" w:color="auto"/>
            <w:left w:val="none" w:sz="0" w:space="0" w:color="auto"/>
            <w:bottom w:val="none" w:sz="0" w:space="0" w:color="auto"/>
            <w:right w:val="none" w:sz="0" w:space="0" w:color="auto"/>
          </w:divBdr>
        </w:div>
        <w:div w:id="94524965">
          <w:marLeft w:val="547"/>
          <w:marRight w:val="0"/>
          <w:marTop w:val="0"/>
          <w:marBottom w:val="160"/>
          <w:divBdr>
            <w:top w:val="none" w:sz="0" w:space="0" w:color="auto"/>
            <w:left w:val="none" w:sz="0" w:space="0" w:color="auto"/>
            <w:bottom w:val="none" w:sz="0" w:space="0" w:color="auto"/>
            <w:right w:val="none" w:sz="0" w:space="0" w:color="auto"/>
          </w:divBdr>
        </w:div>
        <w:div w:id="2116512944">
          <w:marLeft w:val="547"/>
          <w:marRight w:val="0"/>
          <w:marTop w:val="0"/>
          <w:marBottom w:val="160"/>
          <w:divBdr>
            <w:top w:val="none" w:sz="0" w:space="0" w:color="auto"/>
            <w:left w:val="none" w:sz="0" w:space="0" w:color="auto"/>
            <w:bottom w:val="none" w:sz="0" w:space="0" w:color="auto"/>
            <w:right w:val="none" w:sz="0" w:space="0" w:color="auto"/>
          </w:divBdr>
        </w:div>
      </w:divsChild>
    </w:div>
    <w:div w:id="1052075785">
      <w:bodyDiv w:val="1"/>
      <w:marLeft w:val="0"/>
      <w:marRight w:val="0"/>
      <w:marTop w:val="0"/>
      <w:marBottom w:val="0"/>
      <w:divBdr>
        <w:top w:val="none" w:sz="0" w:space="0" w:color="auto"/>
        <w:left w:val="none" w:sz="0" w:space="0" w:color="auto"/>
        <w:bottom w:val="none" w:sz="0" w:space="0" w:color="auto"/>
        <w:right w:val="none" w:sz="0" w:space="0" w:color="auto"/>
      </w:divBdr>
      <w:divsChild>
        <w:div w:id="6834414">
          <w:marLeft w:val="446"/>
          <w:marRight w:val="0"/>
          <w:marTop w:val="0"/>
          <w:marBottom w:val="0"/>
          <w:divBdr>
            <w:top w:val="none" w:sz="0" w:space="0" w:color="auto"/>
            <w:left w:val="none" w:sz="0" w:space="0" w:color="auto"/>
            <w:bottom w:val="none" w:sz="0" w:space="0" w:color="auto"/>
            <w:right w:val="none" w:sz="0" w:space="0" w:color="auto"/>
          </w:divBdr>
        </w:div>
        <w:div w:id="1243686285">
          <w:marLeft w:val="547"/>
          <w:marRight w:val="0"/>
          <w:marTop w:val="0"/>
          <w:marBottom w:val="0"/>
          <w:divBdr>
            <w:top w:val="none" w:sz="0" w:space="0" w:color="auto"/>
            <w:left w:val="none" w:sz="0" w:space="0" w:color="auto"/>
            <w:bottom w:val="none" w:sz="0" w:space="0" w:color="auto"/>
            <w:right w:val="none" w:sz="0" w:space="0" w:color="auto"/>
          </w:divBdr>
        </w:div>
        <w:div w:id="1202866774">
          <w:marLeft w:val="547"/>
          <w:marRight w:val="0"/>
          <w:marTop w:val="0"/>
          <w:marBottom w:val="0"/>
          <w:divBdr>
            <w:top w:val="none" w:sz="0" w:space="0" w:color="auto"/>
            <w:left w:val="none" w:sz="0" w:space="0" w:color="auto"/>
            <w:bottom w:val="none" w:sz="0" w:space="0" w:color="auto"/>
            <w:right w:val="none" w:sz="0" w:space="0" w:color="auto"/>
          </w:divBdr>
        </w:div>
        <w:div w:id="148056438">
          <w:marLeft w:val="547"/>
          <w:marRight w:val="0"/>
          <w:marTop w:val="0"/>
          <w:marBottom w:val="0"/>
          <w:divBdr>
            <w:top w:val="none" w:sz="0" w:space="0" w:color="auto"/>
            <w:left w:val="none" w:sz="0" w:space="0" w:color="auto"/>
            <w:bottom w:val="none" w:sz="0" w:space="0" w:color="auto"/>
            <w:right w:val="none" w:sz="0" w:space="0" w:color="auto"/>
          </w:divBdr>
        </w:div>
        <w:div w:id="479616879">
          <w:marLeft w:val="547"/>
          <w:marRight w:val="0"/>
          <w:marTop w:val="0"/>
          <w:marBottom w:val="0"/>
          <w:divBdr>
            <w:top w:val="none" w:sz="0" w:space="0" w:color="auto"/>
            <w:left w:val="none" w:sz="0" w:space="0" w:color="auto"/>
            <w:bottom w:val="none" w:sz="0" w:space="0" w:color="auto"/>
            <w:right w:val="none" w:sz="0" w:space="0" w:color="auto"/>
          </w:divBdr>
        </w:div>
      </w:divsChild>
    </w:div>
    <w:div w:id="1080057389">
      <w:bodyDiv w:val="1"/>
      <w:marLeft w:val="0"/>
      <w:marRight w:val="0"/>
      <w:marTop w:val="0"/>
      <w:marBottom w:val="0"/>
      <w:divBdr>
        <w:top w:val="none" w:sz="0" w:space="0" w:color="auto"/>
        <w:left w:val="none" w:sz="0" w:space="0" w:color="auto"/>
        <w:bottom w:val="none" w:sz="0" w:space="0" w:color="auto"/>
        <w:right w:val="none" w:sz="0" w:space="0" w:color="auto"/>
      </w:divBdr>
      <w:divsChild>
        <w:div w:id="503395908">
          <w:marLeft w:val="547"/>
          <w:marRight w:val="0"/>
          <w:marTop w:val="0"/>
          <w:marBottom w:val="0"/>
          <w:divBdr>
            <w:top w:val="none" w:sz="0" w:space="0" w:color="auto"/>
            <w:left w:val="none" w:sz="0" w:space="0" w:color="auto"/>
            <w:bottom w:val="none" w:sz="0" w:space="0" w:color="auto"/>
            <w:right w:val="none" w:sz="0" w:space="0" w:color="auto"/>
          </w:divBdr>
        </w:div>
        <w:div w:id="523638157">
          <w:marLeft w:val="547"/>
          <w:marRight w:val="0"/>
          <w:marTop w:val="0"/>
          <w:marBottom w:val="0"/>
          <w:divBdr>
            <w:top w:val="none" w:sz="0" w:space="0" w:color="auto"/>
            <w:left w:val="none" w:sz="0" w:space="0" w:color="auto"/>
            <w:bottom w:val="none" w:sz="0" w:space="0" w:color="auto"/>
            <w:right w:val="none" w:sz="0" w:space="0" w:color="auto"/>
          </w:divBdr>
        </w:div>
        <w:div w:id="998269009">
          <w:marLeft w:val="547"/>
          <w:marRight w:val="0"/>
          <w:marTop w:val="0"/>
          <w:marBottom w:val="120"/>
          <w:divBdr>
            <w:top w:val="none" w:sz="0" w:space="0" w:color="auto"/>
            <w:left w:val="none" w:sz="0" w:space="0" w:color="auto"/>
            <w:bottom w:val="none" w:sz="0" w:space="0" w:color="auto"/>
            <w:right w:val="none" w:sz="0" w:space="0" w:color="auto"/>
          </w:divBdr>
        </w:div>
        <w:div w:id="1602256260">
          <w:marLeft w:val="547"/>
          <w:marRight w:val="0"/>
          <w:marTop w:val="60"/>
          <w:marBottom w:val="0"/>
          <w:divBdr>
            <w:top w:val="none" w:sz="0" w:space="0" w:color="auto"/>
            <w:left w:val="none" w:sz="0" w:space="0" w:color="auto"/>
            <w:bottom w:val="none" w:sz="0" w:space="0" w:color="auto"/>
            <w:right w:val="none" w:sz="0" w:space="0" w:color="auto"/>
          </w:divBdr>
        </w:div>
        <w:div w:id="1797259316">
          <w:marLeft w:val="547"/>
          <w:marRight w:val="0"/>
          <w:marTop w:val="0"/>
          <w:marBottom w:val="0"/>
          <w:divBdr>
            <w:top w:val="none" w:sz="0" w:space="0" w:color="auto"/>
            <w:left w:val="none" w:sz="0" w:space="0" w:color="auto"/>
            <w:bottom w:val="none" w:sz="0" w:space="0" w:color="auto"/>
            <w:right w:val="none" w:sz="0" w:space="0" w:color="auto"/>
          </w:divBdr>
        </w:div>
        <w:div w:id="2090350384">
          <w:marLeft w:val="547"/>
          <w:marRight w:val="0"/>
          <w:marTop w:val="0"/>
          <w:marBottom w:val="0"/>
          <w:divBdr>
            <w:top w:val="none" w:sz="0" w:space="0" w:color="auto"/>
            <w:left w:val="none" w:sz="0" w:space="0" w:color="auto"/>
            <w:bottom w:val="none" w:sz="0" w:space="0" w:color="auto"/>
            <w:right w:val="none" w:sz="0" w:space="0" w:color="auto"/>
          </w:divBdr>
        </w:div>
      </w:divsChild>
    </w:div>
    <w:div w:id="1173910895">
      <w:bodyDiv w:val="1"/>
      <w:marLeft w:val="0"/>
      <w:marRight w:val="0"/>
      <w:marTop w:val="0"/>
      <w:marBottom w:val="0"/>
      <w:divBdr>
        <w:top w:val="none" w:sz="0" w:space="0" w:color="auto"/>
        <w:left w:val="none" w:sz="0" w:space="0" w:color="auto"/>
        <w:bottom w:val="none" w:sz="0" w:space="0" w:color="auto"/>
        <w:right w:val="none" w:sz="0" w:space="0" w:color="auto"/>
      </w:divBdr>
      <w:divsChild>
        <w:div w:id="159077577">
          <w:marLeft w:val="547"/>
          <w:marRight w:val="0"/>
          <w:marTop w:val="0"/>
          <w:marBottom w:val="0"/>
          <w:divBdr>
            <w:top w:val="none" w:sz="0" w:space="0" w:color="auto"/>
            <w:left w:val="none" w:sz="0" w:space="0" w:color="auto"/>
            <w:bottom w:val="none" w:sz="0" w:space="0" w:color="auto"/>
            <w:right w:val="none" w:sz="0" w:space="0" w:color="auto"/>
          </w:divBdr>
        </w:div>
      </w:divsChild>
    </w:div>
    <w:div w:id="1290478600">
      <w:bodyDiv w:val="1"/>
      <w:marLeft w:val="0"/>
      <w:marRight w:val="0"/>
      <w:marTop w:val="0"/>
      <w:marBottom w:val="0"/>
      <w:divBdr>
        <w:top w:val="none" w:sz="0" w:space="0" w:color="auto"/>
        <w:left w:val="none" w:sz="0" w:space="0" w:color="auto"/>
        <w:bottom w:val="none" w:sz="0" w:space="0" w:color="auto"/>
        <w:right w:val="none" w:sz="0" w:space="0" w:color="auto"/>
      </w:divBdr>
      <w:divsChild>
        <w:div w:id="1025670782">
          <w:marLeft w:val="547"/>
          <w:marRight w:val="0"/>
          <w:marTop w:val="0"/>
          <w:marBottom w:val="120"/>
          <w:divBdr>
            <w:top w:val="none" w:sz="0" w:space="0" w:color="auto"/>
            <w:left w:val="none" w:sz="0" w:space="0" w:color="auto"/>
            <w:bottom w:val="none" w:sz="0" w:space="0" w:color="auto"/>
            <w:right w:val="none" w:sz="0" w:space="0" w:color="auto"/>
          </w:divBdr>
        </w:div>
      </w:divsChild>
    </w:div>
    <w:div w:id="1390763624">
      <w:bodyDiv w:val="1"/>
      <w:marLeft w:val="0"/>
      <w:marRight w:val="0"/>
      <w:marTop w:val="0"/>
      <w:marBottom w:val="0"/>
      <w:divBdr>
        <w:top w:val="none" w:sz="0" w:space="0" w:color="auto"/>
        <w:left w:val="none" w:sz="0" w:space="0" w:color="auto"/>
        <w:bottom w:val="none" w:sz="0" w:space="0" w:color="auto"/>
        <w:right w:val="none" w:sz="0" w:space="0" w:color="auto"/>
      </w:divBdr>
    </w:div>
    <w:div w:id="1498232834">
      <w:bodyDiv w:val="1"/>
      <w:marLeft w:val="0"/>
      <w:marRight w:val="0"/>
      <w:marTop w:val="0"/>
      <w:marBottom w:val="0"/>
      <w:divBdr>
        <w:top w:val="none" w:sz="0" w:space="0" w:color="auto"/>
        <w:left w:val="none" w:sz="0" w:space="0" w:color="auto"/>
        <w:bottom w:val="none" w:sz="0" w:space="0" w:color="auto"/>
        <w:right w:val="none" w:sz="0" w:space="0" w:color="auto"/>
      </w:divBdr>
      <w:divsChild>
        <w:div w:id="26028434">
          <w:marLeft w:val="547"/>
          <w:marRight w:val="0"/>
          <w:marTop w:val="0"/>
          <w:marBottom w:val="160"/>
          <w:divBdr>
            <w:top w:val="none" w:sz="0" w:space="0" w:color="auto"/>
            <w:left w:val="none" w:sz="0" w:space="0" w:color="auto"/>
            <w:bottom w:val="none" w:sz="0" w:space="0" w:color="auto"/>
            <w:right w:val="none" w:sz="0" w:space="0" w:color="auto"/>
          </w:divBdr>
        </w:div>
        <w:div w:id="1580870443">
          <w:marLeft w:val="547"/>
          <w:marRight w:val="0"/>
          <w:marTop w:val="0"/>
          <w:marBottom w:val="160"/>
          <w:divBdr>
            <w:top w:val="none" w:sz="0" w:space="0" w:color="auto"/>
            <w:left w:val="none" w:sz="0" w:space="0" w:color="auto"/>
            <w:bottom w:val="none" w:sz="0" w:space="0" w:color="auto"/>
            <w:right w:val="none" w:sz="0" w:space="0" w:color="auto"/>
          </w:divBdr>
        </w:div>
        <w:div w:id="1703749975">
          <w:marLeft w:val="547"/>
          <w:marRight w:val="0"/>
          <w:marTop w:val="0"/>
          <w:marBottom w:val="160"/>
          <w:divBdr>
            <w:top w:val="none" w:sz="0" w:space="0" w:color="auto"/>
            <w:left w:val="none" w:sz="0" w:space="0" w:color="auto"/>
            <w:bottom w:val="none" w:sz="0" w:space="0" w:color="auto"/>
            <w:right w:val="none" w:sz="0" w:space="0" w:color="auto"/>
          </w:divBdr>
        </w:div>
        <w:div w:id="1697777707">
          <w:marLeft w:val="547"/>
          <w:marRight w:val="0"/>
          <w:marTop w:val="0"/>
          <w:marBottom w:val="160"/>
          <w:divBdr>
            <w:top w:val="none" w:sz="0" w:space="0" w:color="auto"/>
            <w:left w:val="none" w:sz="0" w:space="0" w:color="auto"/>
            <w:bottom w:val="none" w:sz="0" w:space="0" w:color="auto"/>
            <w:right w:val="none" w:sz="0" w:space="0" w:color="auto"/>
          </w:divBdr>
        </w:div>
        <w:div w:id="730806108">
          <w:marLeft w:val="547"/>
          <w:marRight w:val="0"/>
          <w:marTop w:val="0"/>
          <w:marBottom w:val="160"/>
          <w:divBdr>
            <w:top w:val="none" w:sz="0" w:space="0" w:color="auto"/>
            <w:left w:val="none" w:sz="0" w:space="0" w:color="auto"/>
            <w:bottom w:val="none" w:sz="0" w:space="0" w:color="auto"/>
            <w:right w:val="none" w:sz="0" w:space="0" w:color="auto"/>
          </w:divBdr>
        </w:div>
        <w:div w:id="2104956602">
          <w:marLeft w:val="547"/>
          <w:marRight w:val="0"/>
          <w:marTop w:val="0"/>
          <w:marBottom w:val="160"/>
          <w:divBdr>
            <w:top w:val="none" w:sz="0" w:space="0" w:color="auto"/>
            <w:left w:val="none" w:sz="0" w:space="0" w:color="auto"/>
            <w:bottom w:val="none" w:sz="0" w:space="0" w:color="auto"/>
            <w:right w:val="none" w:sz="0" w:space="0" w:color="auto"/>
          </w:divBdr>
        </w:div>
      </w:divsChild>
    </w:div>
    <w:div w:id="1541821814">
      <w:bodyDiv w:val="1"/>
      <w:marLeft w:val="0"/>
      <w:marRight w:val="0"/>
      <w:marTop w:val="0"/>
      <w:marBottom w:val="0"/>
      <w:divBdr>
        <w:top w:val="none" w:sz="0" w:space="0" w:color="auto"/>
        <w:left w:val="none" w:sz="0" w:space="0" w:color="auto"/>
        <w:bottom w:val="none" w:sz="0" w:space="0" w:color="auto"/>
        <w:right w:val="none" w:sz="0" w:space="0" w:color="auto"/>
      </w:divBdr>
      <w:divsChild>
        <w:div w:id="1232613875">
          <w:marLeft w:val="547"/>
          <w:marRight w:val="0"/>
          <w:marTop w:val="0"/>
          <w:marBottom w:val="160"/>
          <w:divBdr>
            <w:top w:val="none" w:sz="0" w:space="0" w:color="auto"/>
            <w:left w:val="none" w:sz="0" w:space="0" w:color="auto"/>
            <w:bottom w:val="none" w:sz="0" w:space="0" w:color="auto"/>
            <w:right w:val="none" w:sz="0" w:space="0" w:color="auto"/>
          </w:divBdr>
        </w:div>
        <w:div w:id="772479031">
          <w:marLeft w:val="1166"/>
          <w:marRight w:val="0"/>
          <w:marTop w:val="0"/>
          <w:marBottom w:val="160"/>
          <w:divBdr>
            <w:top w:val="none" w:sz="0" w:space="0" w:color="auto"/>
            <w:left w:val="none" w:sz="0" w:space="0" w:color="auto"/>
            <w:bottom w:val="none" w:sz="0" w:space="0" w:color="auto"/>
            <w:right w:val="none" w:sz="0" w:space="0" w:color="auto"/>
          </w:divBdr>
        </w:div>
        <w:div w:id="379019520">
          <w:marLeft w:val="1800"/>
          <w:marRight w:val="0"/>
          <w:marTop w:val="0"/>
          <w:marBottom w:val="160"/>
          <w:divBdr>
            <w:top w:val="none" w:sz="0" w:space="0" w:color="auto"/>
            <w:left w:val="none" w:sz="0" w:space="0" w:color="auto"/>
            <w:bottom w:val="none" w:sz="0" w:space="0" w:color="auto"/>
            <w:right w:val="none" w:sz="0" w:space="0" w:color="auto"/>
          </w:divBdr>
        </w:div>
        <w:div w:id="1963150355">
          <w:marLeft w:val="1166"/>
          <w:marRight w:val="0"/>
          <w:marTop w:val="0"/>
          <w:marBottom w:val="160"/>
          <w:divBdr>
            <w:top w:val="none" w:sz="0" w:space="0" w:color="auto"/>
            <w:left w:val="none" w:sz="0" w:space="0" w:color="auto"/>
            <w:bottom w:val="none" w:sz="0" w:space="0" w:color="auto"/>
            <w:right w:val="none" w:sz="0" w:space="0" w:color="auto"/>
          </w:divBdr>
        </w:div>
        <w:div w:id="338434208">
          <w:marLeft w:val="1166"/>
          <w:marRight w:val="0"/>
          <w:marTop w:val="0"/>
          <w:marBottom w:val="160"/>
          <w:divBdr>
            <w:top w:val="none" w:sz="0" w:space="0" w:color="auto"/>
            <w:left w:val="none" w:sz="0" w:space="0" w:color="auto"/>
            <w:bottom w:val="none" w:sz="0" w:space="0" w:color="auto"/>
            <w:right w:val="none" w:sz="0" w:space="0" w:color="auto"/>
          </w:divBdr>
        </w:div>
        <w:div w:id="612129363">
          <w:marLeft w:val="547"/>
          <w:marRight w:val="0"/>
          <w:marTop w:val="0"/>
          <w:marBottom w:val="160"/>
          <w:divBdr>
            <w:top w:val="none" w:sz="0" w:space="0" w:color="auto"/>
            <w:left w:val="none" w:sz="0" w:space="0" w:color="auto"/>
            <w:bottom w:val="none" w:sz="0" w:space="0" w:color="auto"/>
            <w:right w:val="none" w:sz="0" w:space="0" w:color="auto"/>
          </w:divBdr>
        </w:div>
        <w:div w:id="1537113888">
          <w:marLeft w:val="1166"/>
          <w:marRight w:val="0"/>
          <w:marTop w:val="0"/>
          <w:marBottom w:val="160"/>
          <w:divBdr>
            <w:top w:val="none" w:sz="0" w:space="0" w:color="auto"/>
            <w:left w:val="none" w:sz="0" w:space="0" w:color="auto"/>
            <w:bottom w:val="none" w:sz="0" w:space="0" w:color="auto"/>
            <w:right w:val="none" w:sz="0" w:space="0" w:color="auto"/>
          </w:divBdr>
        </w:div>
        <w:div w:id="1552768475">
          <w:marLeft w:val="1166"/>
          <w:marRight w:val="0"/>
          <w:marTop w:val="0"/>
          <w:marBottom w:val="160"/>
          <w:divBdr>
            <w:top w:val="none" w:sz="0" w:space="0" w:color="auto"/>
            <w:left w:val="none" w:sz="0" w:space="0" w:color="auto"/>
            <w:bottom w:val="none" w:sz="0" w:space="0" w:color="auto"/>
            <w:right w:val="none" w:sz="0" w:space="0" w:color="auto"/>
          </w:divBdr>
        </w:div>
        <w:div w:id="1316566021">
          <w:marLeft w:val="1166"/>
          <w:marRight w:val="0"/>
          <w:marTop w:val="0"/>
          <w:marBottom w:val="160"/>
          <w:divBdr>
            <w:top w:val="none" w:sz="0" w:space="0" w:color="auto"/>
            <w:left w:val="none" w:sz="0" w:space="0" w:color="auto"/>
            <w:bottom w:val="none" w:sz="0" w:space="0" w:color="auto"/>
            <w:right w:val="none" w:sz="0" w:space="0" w:color="auto"/>
          </w:divBdr>
        </w:div>
        <w:div w:id="87315588">
          <w:marLeft w:val="1166"/>
          <w:marRight w:val="0"/>
          <w:marTop w:val="0"/>
          <w:marBottom w:val="160"/>
          <w:divBdr>
            <w:top w:val="none" w:sz="0" w:space="0" w:color="auto"/>
            <w:left w:val="none" w:sz="0" w:space="0" w:color="auto"/>
            <w:bottom w:val="none" w:sz="0" w:space="0" w:color="auto"/>
            <w:right w:val="none" w:sz="0" w:space="0" w:color="auto"/>
          </w:divBdr>
        </w:div>
      </w:divsChild>
    </w:div>
    <w:div w:id="1656570809">
      <w:bodyDiv w:val="1"/>
      <w:marLeft w:val="0"/>
      <w:marRight w:val="0"/>
      <w:marTop w:val="0"/>
      <w:marBottom w:val="0"/>
      <w:divBdr>
        <w:top w:val="none" w:sz="0" w:space="0" w:color="auto"/>
        <w:left w:val="none" w:sz="0" w:space="0" w:color="auto"/>
        <w:bottom w:val="none" w:sz="0" w:space="0" w:color="auto"/>
        <w:right w:val="none" w:sz="0" w:space="0" w:color="auto"/>
      </w:divBdr>
    </w:div>
    <w:div w:id="1735859012">
      <w:bodyDiv w:val="1"/>
      <w:marLeft w:val="0"/>
      <w:marRight w:val="0"/>
      <w:marTop w:val="0"/>
      <w:marBottom w:val="0"/>
      <w:divBdr>
        <w:top w:val="none" w:sz="0" w:space="0" w:color="auto"/>
        <w:left w:val="none" w:sz="0" w:space="0" w:color="auto"/>
        <w:bottom w:val="none" w:sz="0" w:space="0" w:color="auto"/>
        <w:right w:val="none" w:sz="0" w:space="0" w:color="auto"/>
      </w:divBdr>
      <w:divsChild>
        <w:div w:id="120466156">
          <w:marLeft w:val="547"/>
          <w:marRight w:val="0"/>
          <w:marTop w:val="0"/>
          <w:marBottom w:val="160"/>
          <w:divBdr>
            <w:top w:val="none" w:sz="0" w:space="0" w:color="auto"/>
            <w:left w:val="none" w:sz="0" w:space="0" w:color="auto"/>
            <w:bottom w:val="none" w:sz="0" w:space="0" w:color="auto"/>
            <w:right w:val="none" w:sz="0" w:space="0" w:color="auto"/>
          </w:divBdr>
        </w:div>
        <w:div w:id="859202106">
          <w:marLeft w:val="547"/>
          <w:marRight w:val="0"/>
          <w:marTop w:val="0"/>
          <w:marBottom w:val="160"/>
          <w:divBdr>
            <w:top w:val="none" w:sz="0" w:space="0" w:color="auto"/>
            <w:left w:val="none" w:sz="0" w:space="0" w:color="auto"/>
            <w:bottom w:val="none" w:sz="0" w:space="0" w:color="auto"/>
            <w:right w:val="none" w:sz="0" w:space="0" w:color="auto"/>
          </w:divBdr>
        </w:div>
      </w:divsChild>
    </w:div>
    <w:div w:id="1853450793">
      <w:bodyDiv w:val="1"/>
      <w:marLeft w:val="0"/>
      <w:marRight w:val="0"/>
      <w:marTop w:val="0"/>
      <w:marBottom w:val="0"/>
      <w:divBdr>
        <w:top w:val="none" w:sz="0" w:space="0" w:color="auto"/>
        <w:left w:val="none" w:sz="0" w:space="0" w:color="auto"/>
        <w:bottom w:val="none" w:sz="0" w:space="0" w:color="auto"/>
        <w:right w:val="none" w:sz="0" w:space="0" w:color="auto"/>
      </w:divBdr>
      <w:divsChild>
        <w:div w:id="1613123993">
          <w:marLeft w:val="547"/>
          <w:marRight w:val="0"/>
          <w:marTop w:val="0"/>
          <w:marBottom w:val="0"/>
          <w:divBdr>
            <w:top w:val="none" w:sz="0" w:space="0" w:color="auto"/>
            <w:left w:val="none" w:sz="0" w:space="0" w:color="auto"/>
            <w:bottom w:val="none" w:sz="0" w:space="0" w:color="auto"/>
            <w:right w:val="none" w:sz="0" w:space="0" w:color="auto"/>
          </w:divBdr>
        </w:div>
        <w:div w:id="1834254274">
          <w:marLeft w:val="547"/>
          <w:marRight w:val="0"/>
          <w:marTop w:val="0"/>
          <w:marBottom w:val="0"/>
          <w:divBdr>
            <w:top w:val="none" w:sz="0" w:space="0" w:color="auto"/>
            <w:left w:val="none" w:sz="0" w:space="0" w:color="auto"/>
            <w:bottom w:val="none" w:sz="0" w:space="0" w:color="auto"/>
            <w:right w:val="none" w:sz="0" w:space="0" w:color="auto"/>
          </w:divBdr>
        </w:div>
      </w:divsChild>
    </w:div>
    <w:div w:id="1875969498">
      <w:bodyDiv w:val="1"/>
      <w:marLeft w:val="0"/>
      <w:marRight w:val="0"/>
      <w:marTop w:val="0"/>
      <w:marBottom w:val="0"/>
      <w:divBdr>
        <w:top w:val="none" w:sz="0" w:space="0" w:color="auto"/>
        <w:left w:val="none" w:sz="0" w:space="0" w:color="auto"/>
        <w:bottom w:val="none" w:sz="0" w:space="0" w:color="auto"/>
        <w:right w:val="none" w:sz="0" w:space="0" w:color="auto"/>
      </w:divBdr>
      <w:divsChild>
        <w:div w:id="827792688">
          <w:marLeft w:val="360"/>
          <w:marRight w:val="0"/>
          <w:marTop w:val="200"/>
          <w:marBottom w:val="0"/>
          <w:divBdr>
            <w:top w:val="none" w:sz="0" w:space="0" w:color="auto"/>
            <w:left w:val="none" w:sz="0" w:space="0" w:color="auto"/>
            <w:bottom w:val="none" w:sz="0" w:space="0" w:color="auto"/>
            <w:right w:val="none" w:sz="0" w:space="0" w:color="auto"/>
          </w:divBdr>
        </w:div>
        <w:div w:id="886452947">
          <w:marLeft w:val="1080"/>
          <w:marRight w:val="0"/>
          <w:marTop w:val="100"/>
          <w:marBottom w:val="0"/>
          <w:divBdr>
            <w:top w:val="none" w:sz="0" w:space="0" w:color="auto"/>
            <w:left w:val="none" w:sz="0" w:space="0" w:color="auto"/>
            <w:bottom w:val="none" w:sz="0" w:space="0" w:color="auto"/>
            <w:right w:val="none" w:sz="0" w:space="0" w:color="auto"/>
          </w:divBdr>
        </w:div>
        <w:div w:id="2101019095">
          <w:marLeft w:val="1080"/>
          <w:marRight w:val="0"/>
          <w:marTop w:val="100"/>
          <w:marBottom w:val="0"/>
          <w:divBdr>
            <w:top w:val="none" w:sz="0" w:space="0" w:color="auto"/>
            <w:left w:val="none" w:sz="0" w:space="0" w:color="auto"/>
            <w:bottom w:val="none" w:sz="0" w:space="0" w:color="auto"/>
            <w:right w:val="none" w:sz="0" w:space="0" w:color="auto"/>
          </w:divBdr>
        </w:div>
      </w:divsChild>
    </w:div>
    <w:div w:id="1942177729">
      <w:bodyDiv w:val="1"/>
      <w:marLeft w:val="0"/>
      <w:marRight w:val="0"/>
      <w:marTop w:val="0"/>
      <w:marBottom w:val="0"/>
      <w:divBdr>
        <w:top w:val="none" w:sz="0" w:space="0" w:color="auto"/>
        <w:left w:val="none" w:sz="0" w:space="0" w:color="auto"/>
        <w:bottom w:val="none" w:sz="0" w:space="0" w:color="auto"/>
        <w:right w:val="none" w:sz="0" w:space="0" w:color="auto"/>
      </w:divBdr>
      <w:divsChild>
        <w:div w:id="1420515909">
          <w:marLeft w:val="547"/>
          <w:marRight w:val="0"/>
          <w:marTop w:val="0"/>
          <w:marBottom w:val="160"/>
          <w:divBdr>
            <w:top w:val="none" w:sz="0" w:space="0" w:color="auto"/>
            <w:left w:val="none" w:sz="0" w:space="0" w:color="auto"/>
            <w:bottom w:val="none" w:sz="0" w:space="0" w:color="auto"/>
            <w:right w:val="none" w:sz="0" w:space="0" w:color="auto"/>
          </w:divBdr>
        </w:div>
        <w:div w:id="1514224441">
          <w:marLeft w:val="547"/>
          <w:marRight w:val="0"/>
          <w:marTop w:val="0"/>
          <w:marBottom w:val="160"/>
          <w:divBdr>
            <w:top w:val="none" w:sz="0" w:space="0" w:color="auto"/>
            <w:left w:val="none" w:sz="0" w:space="0" w:color="auto"/>
            <w:bottom w:val="none" w:sz="0" w:space="0" w:color="auto"/>
            <w:right w:val="none" w:sz="0" w:space="0" w:color="auto"/>
          </w:divBdr>
        </w:div>
        <w:div w:id="610281198">
          <w:marLeft w:val="547"/>
          <w:marRight w:val="0"/>
          <w:marTop w:val="0"/>
          <w:marBottom w:val="160"/>
          <w:divBdr>
            <w:top w:val="none" w:sz="0" w:space="0" w:color="auto"/>
            <w:left w:val="none" w:sz="0" w:space="0" w:color="auto"/>
            <w:bottom w:val="none" w:sz="0" w:space="0" w:color="auto"/>
            <w:right w:val="none" w:sz="0" w:space="0" w:color="auto"/>
          </w:divBdr>
        </w:div>
        <w:div w:id="1134523923">
          <w:marLeft w:val="547"/>
          <w:marRight w:val="0"/>
          <w:marTop w:val="0"/>
          <w:marBottom w:val="160"/>
          <w:divBdr>
            <w:top w:val="none" w:sz="0" w:space="0" w:color="auto"/>
            <w:left w:val="none" w:sz="0" w:space="0" w:color="auto"/>
            <w:bottom w:val="none" w:sz="0" w:space="0" w:color="auto"/>
            <w:right w:val="none" w:sz="0" w:space="0" w:color="auto"/>
          </w:divBdr>
        </w:div>
      </w:divsChild>
    </w:div>
    <w:div w:id="1996908134">
      <w:bodyDiv w:val="1"/>
      <w:marLeft w:val="0"/>
      <w:marRight w:val="0"/>
      <w:marTop w:val="0"/>
      <w:marBottom w:val="0"/>
      <w:divBdr>
        <w:top w:val="none" w:sz="0" w:space="0" w:color="auto"/>
        <w:left w:val="none" w:sz="0" w:space="0" w:color="auto"/>
        <w:bottom w:val="none" w:sz="0" w:space="0" w:color="auto"/>
        <w:right w:val="none" w:sz="0" w:space="0" w:color="auto"/>
      </w:divBdr>
      <w:divsChild>
        <w:div w:id="609091807">
          <w:marLeft w:val="547"/>
          <w:marRight w:val="0"/>
          <w:marTop w:val="0"/>
          <w:marBottom w:val="0"/>
          <w:divBdr>
            <w:top w:val="none" w:sz="0" w:space="0" w:color="auto"/>
            <w:left w:val="none" w:sz="0" w:space="0" w:color="auto"/>
            <w:bottom w:val="none" w:sz="0" w:space="0" w:color="auto"/>
            <w:right w:val="none" w:sz="0" w:space="0" w:color="auto"/>
          </w:divBdr>
        </w:div>
        <w:div w:id="648437136">
          <w:marLeft w:val="547"/>
          <w:marRight w:val="0"/>
          <w:marTop w:val="60"/>
          <w:marBottom w:val="0"/>
          <w:divBdr>
            <w:top w:val="none" w:sz="0" w:space="0" w:color="auto"/>
            <w:left w:val="none" w:sz="0" w:space="0" w:color="auto"/>
            <w:bottom w:val="none" w:sz="0" w:space="0" w:color="auto"/>
            <w:right w:val="none" w:sz="0" w:space="0" w:color="auto"/>
          </w:divBdr>
        </w:div>
        <w:div w:id="983781594">
          <w:marLeft w:val="547"/>
          <w:marRight w:val="0"/>
          <w:marTop w:val="0"/>
          <w:marBottom w:val="0"/>
          <w:divBdr>
            <w:top w:val="none" w:sz="0" w:space="0" w:color="auto"/>
            <w:left w:val="none" w:sz="0" w:space="0" w:color="auto"/>
            <w:bottom w:val="none" w:sz="0" w:space="0" w:color="auto"/>
            <w:right w:val="none" w:sz="0" w:space="0" w:color="auto"/>
          </w:divBdr>
        </w:div>
        <w:div w:id="1122505094">
          <w:marLeft w:val="547"/>
          <w:marRight w:val="0"/>
          <w:marTop w:val="0"/>
          <w:marBottom w:val="120"/>
          <w:divBdr>
            <w:top w:val="none" w:sz="0" w:space="0" w:color="auto"/>
            <w:left w:val="none" w:sz="0" w:space="0" w:color="auto"/>
            <w:bottom w:val="none" w:sz="0" w:space="0" w:color="auto"/>
            <w:right w:val="none" w:sz="0" w:space="0" w:color="auto"/>
          </w:divBdr>
        </w:div>
        <w:div w:id="1362780555">
          <w:marLeft w:val="547"/>
          <w:marRight w:val="0"/>
          <w:marTop w:val="0"/>
          <w:marBottom w:val="0"/>
          <w:divBdr>
            <w:top w:val="none" w:sz="0" w:space="0" w:color="auto"/>
            <w:left w:val="none" w:sz="0" w:space="0" w:color="auto"/>
            <w:bottom w:val="none" w:sz="0" w:space="0" w:color="auto"/>
            <w:right w:val="none" w:sz="0" w:space="0" w:color="auto"/>
          </w:divBdr>
        </w:div>
        <w:div w:id="1587766262">
          <w:marLeft w:val="547"/>
          <w:marRight w:val="0"/>
          <w:marTop w:val="0"/>
          <w:marBottom w:val="0"/>
          <w:divBdr>
            <w:top w:val="none" w:sz="0" w:space="0" w:color="auto"/>
            <w:left w:val="none" w:sz="0" w:space="0" w:color="auto"/>
            <w:bottom w:val="none" w:sz="0" w:space="0" w:color="auto"/>
            <w:right w:val="none" w:sz="0" w:space="0" w:color="auto"/>
          </w:divBdr>
        </w:div>
        <w:div w:id="2011979838">
          <w:marLeft w:val="547"/>
          <w:marRight w:val="0"/>
          <w:marTop w:val="0"/>
          <w:marBottom w:val="0"/>
          <w:divBdr>
            <w:top w:val="none" w:sz="0" w:space="0" w:color="auto"/>
            <w:left w:val="none" w:sz="0" w:space="0" w:color="auto"/>
            <w:bottom w:val="none" w:sz="0" w:space="0" w:color="auto"/>
            <w:right w:val="none" w:sz="0" w:space="0" w:color="auto"/>
          </w:divBdr>
        </w:div>
      </w:divsChild>
    </w:div>
    <w:div w:id="2012414338">
      <w:bodyDiv w:val="1"/>
      <w:marLeft w:val="0"/>
      <w:marRight w:val="0"/>
      <w:marTop w:val="0"/>
      <w:marBottom w:val="0"/>
      <w:divBdr>
        <w:top w:val="none" w:sz="0" w:space="0" w:color="auto"/>
        <w:left w:val="none" w:sz="0" w:space="0" w:color="auto"/>
        <w:bottom w:val="none" w:sz="0" w:space="0" w:color="auto"/>
        <w:right w:val="none" w:sz="0" w:space="0" w:color="auto"/>
      </w:divBdr>
    </w:div>
    <w:div w:id="209184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664EC-8F93-4F66-BC2E-2A61BE607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6712</Words>
  <Characters>37689</Characters>
  <Application>Microsoft Office Word</Application>
  <DocSecurity>0</DocSecurity>
  <Lines>314</Lines>
  <Paragraphs>88</Paragraphs>
  <ScaleCrop>false</ScaleCrop>
  <Company/>
  <LinksUpToDate>false</LinksUpToDate>
  <CharactersWithSpaces>44313</CharactersWithSpaces>
  <SharedDoc>false</SharedDoc>
  <HLinks>
    <vt:vector size="210" baseType="variant">
      <vt:variant>
        <vt:i4>1245235</vt:i4>
      </vt:variant>
      <vt:variant>
        <vt:i4>245</vt:i4>
      </vt:variant>
      <vt:variant>
        <vt:i4>0</vt:i4>
      </vt:variant>
      <vt:variant>
        <vt:i4>5</vt:i4>
      </vt:variant>
      <vt:variant>
        <vt:lpwstr/>
      </vt:variant>
      <vt:variant>
        <vt:lpwstr>_Toc82718344</vt:lpwstr>
      </vt:variant>
      <vt:variant>
        <vt:i4>1310771</vt:i4>
      </vt:variant>
      <vt:variant>
        <vt:i4>242</vt:i4>
      </vt:variant>
      <vt:variant>
        <vt:i4>0</vt:i4>
      </vt:variant>
      <vt:variant>
        <vt:i4>5</vt:i4>
      </vt:variant>
      <vt:variant>
        <vt:lpwstr/>
      </vt:variant>
      <vt:variant>
        <vt:lpwstr>_Toc82718343</vt:lpwstr>
      </vt:variant>
      <vt:variant>
        <vt:i4>1376307</vt:i4>
      </vt:variant>
      <vt:variant>
        <vt:i4>239</vt:i4>
      </vt:variant>
      <vt:variant>
        <vt:i4>0</vt:i4>
      </vt:variant>
      <vt:variant>
        <vt:i4>5</vt:i4>
      </vt:variant>
      <vt:variant>
        <vt:lpwstr/>
      </vt:variant>
      <vt:variant>
        <vt:lpwstr>_Toc82718342</vt:lpwstr>
      </vt:variant>
      <vt:variant>
        <vt:i4>1441843</vt:i4>
      </vt:variant>
      <vt:variant>
        <vt:i4>236</vt:i4>
      </vt:variant>
      <vt:variant>
        <vt:i4>0</vt:i4>
      </vt:variant>
      <vt:variant>
        <vt:i4>5</vt:i4>
      </vt:variant>
      <vt:variant>
        <vt:lpwstr/>
      </vt:variant>
      <vt:variant>
        <vt:lpwstr>_Toc82718341</vt:lpwstr>
      </vt:variant>
      <vt:variant>
        <vt:i4>1507379</vt:i4>
      </vt:variant>
      <vt:variant>
        <vt:i4>233</vt:i4>
      </vt:variant>
      <vt:variant>
        <vt:i4>0</vt:i4>
      </vt:variant>
      <vt:variant>
        <vt:i4>5</vt:i4>
      </vt:variant>
      <vt:variant>
        <vt:lpwstr/>
      </vt:variant>
      <vt:variant>
        <vt:lpwstr>_Toc82718340</vt:lpwstr>
      </vt:variant>
      <vt:variant>
        <vt:i4>1966132</vt:i4>
      </vt:variant>
      <vt:variant>
        <vt:i4>230</vt:i4>
      </vt:variant>
      <vt:variant>
        <vt:i4>0</vt:i4>
      </vt:variant>
      <vt:variant>
        <vt:i4>5</vt:i4>
      </vt:variant>
      <vt:variant>
        <vt:lpwstr/>
      </vt:variant>
      <vt:variant>
        <vt:lpwstr>_Toc82718339</vt:lpwstr>
      </vt:variant>
      <vt:variant>
        <vt:i4>2031668</vt:i4>
      </vt:variant>
      <vt:variant>
        <vt:i4>227</vt:i4>
      </vt:variant>
      <vt:variant>
        <vt:i4>0</vt:i4>
      </vt:variant>
      <vt:variant>
        <vt:i4>5</vt:i4>
      </vt:variant>
      <vt:variant>
        <vt:lpwstr/>
      </vt:variant>
      <vt:variant>
        <vt:lpwstr>_Toc82718338</vt:lpwstr>
      </vt:variant>
      <vt:variant>
        <vt:i4>1048628</vt:i4>
      </vt:variant>
      <vt:variant>
        <vt:i4>224</vt:i4>
      </vt:variant>
      <vt:variant>
        <vt:i4>0</vt:i4>
      </vt:variant>
      <vt:variant>
        <vt:i4>5</vt:i4>
      </vt:variant>
      <vt:variant>
        <vt:lpwstr/>
      </vt:variant>
      <vt:variant>
        <vt:lpwstr>_Toc82718337</vt:lpwstr>
      </vt:variant>
      <vt:variant>
        <vt:i4>1114164</vt:i4>
      </vt:variant>
      <vt:variant>
        <vt:i4>221</vt:i4>
      </vt:variant>
      <vt:variant>
        <vt:i4>0</vt:i4>
      </vt:variant>
      <vt:variant>
        <vt:i4>5</vt:i4>
      </vt:variant>
      <vt:variant>
        <vt:lpwstr/>
      </vt:variant>
      <vt:variant>
        <vt:lpwstr>_Toc82718336</vt:lpwstr>
      </vt:variant>
      <vt:variant>
        <vt:i4>1179700</vt:i4>
      </vt:variant>
      <vt:variant>
        <vt:i4>218</vt:i4>
      </vt:variant>
      <vt:variant>
        <vt:i4>0</vt:i4>
      </vt:variant>
      <vt:variant>
        <vt:i4>5</vt:i4>
      </vt:variant>
      <vt:variant>
        <vt:lpwstr/>
      </vt:variant>
      <vt:variant>
        <vt:lpwstr>_Toc82718335</vt:lpwstr>
      </vt:variant>
      <vt:variant>
        <vt:i4>1245236</vt:i4>
      </vt:variant>
      <vt:variant>
        <vt:i4>215</vt:i4>
      </vt:variant>
      <vt:variant>
        <vt:i4>0</vt:i4>
      </vt:variant>
      <vt:variant>
        <vt:i4>5</vt:i4>
      </vt:variant>
      <vt:variant>
        <vt:lpwstr/>
      </vt:variant>
      <vt:variant>
        <vt:lpwstr>_Toc82718334</vt:lpwstr>
      </vt:variant>
      <vt:variant>
        <vt:i4>1310772</vt:i4>
      </vt:variant>
      <vt:variant>
        <vt:i4>212</vt:i4>
      </vt:variant>
      <vt:variant>
        <vt:i4>0</vt:i4>
      </vt:variant>
      <vt:variant>
        <vt:i4>5</vt:i4>
      </vt:variant>
      <vt:variant>
        <vt:lpwstr/>
      </vt:variant>
      <vt:variant>
        <vt:lpwstr>_Toc82718333</vt:lpwstr>
      </vt:variant>
      <vt:variant>
        <vt:i4>1376308</vt:i4>
      </vt:variant>
      <vt:variant>
        <vt:i4>209</vt:i4>
      </vt:variant>
      <vt:variant>
        <vt:i4>0</vt:i4>
      </vt:variant>
      <vt:variant>
        <vt:i4>5</vt:i4>
      </vt:variant>
      <vt:variant>
        <vt:lpwstr/>
      </vt:variant>
      <vt:variant>
        <vt:lpwstr>_Toc82718332</vt:lpwstr>
      </vt:variant>
      <vt:variant>
        <vt:i4>1441844</vt:i4>
      </vt:variant>
      <vt:variant>
        <vt:i4>206</vt:i4>
      </vt:variant>
      <vt:variant>
        <vt:i4>0</vt:i4>
      </vt:variant>
      <vt:variant>
        <vt:i4>5</vt:i4>
      </vt:variant>
      <vt:variant>
        <vt:lpwstr/>
      </vt:variant>
      <vt:variant>
        <vt:lpwstr>_Toc82718331</vt:lpwstr>
      </vt:variant>
      <vt:variant>
        <vt:i4>1507380</vt:i4>
      </vt:variant>
      <vt:variant>
        <vt:i4>203</vt:i4>
      </vt:variant>
      <vt:variant>
        <vt:i4>0</vt:i4>
      </vt:variant>
      <vt:variant>
        <vt:i4>5</vt:i4>
      </vt:variant>
      <vt:variant>
        <vt:lpwstr/>
      </vt:variant>
      <vt:variant>
        <vt:lpwstr>_Toc82718330</vt:lpwstr>
      </vt:variant>
      <vt:variant>
        <vt:i4>1966133</vt:i4>
      </vt:variant>
      <vt:variant>
        <vt:i4>200</vt:i4>
      </vt:variant>
      <vt:variant>
        <vt:i4>0</vt:i4>
      </vt:variant>
      <vt:variant>
        <vt:i4>5</vt:i4>
      </vt:variant>
      <vt:variant>
        <vt:lpwstr/>
      </vt:variant>
      <vt:variant>
        <vt:lpwstr>_Toc82718329</vt:lpwstr>
      </vt:variant>
      <vt:variant>
        <vt:i4>2031669</vt:i4>
      </vt:variant>
      <vt:variant>
        <vt:i4>197</vt:i4>
      </vt:variant>
      <vt:variant>
        <vt:i4>0</vt:i4>
      </vt:variant>
      <vt:variant>
        <vt:i4>5</vt:i4>
      </vt:variant>
      <vt:variant>
        <vt:lpwstr/>
      </vt:variant>
      <vt:variant>
        <vt:lpwstr>_Toc82718328</vt:lpwstr>
      </vt:variant>
      <vt:variant>
        <vt:i4>1048629</vt:i4>
      </vt:variant>
      <vt:variant>
        <vt:i4>194</vt:i4>
      </vt:variant>
      <vt:variant>
        <vt:i4>0</vt:i4>
      </vt:variant>
      <vt:variant>
        <vt:i4>5</vt:i4>
      </vt:variant>
      <vt:variant>
        <vt:lpwstr/>
      </vt:variant>
      <vt:variant>
        <vt:lpwstr>_Toc82718327</vt:lpwstr>
      </vt:variant>
      <vt:variant>
        <vt:i4>1114165</vt:i4>
      </vt:variant>
      <vt:variant>
        <vt:i4>191</vt:i4>
      </vt:variant>
      <vt:variant>
        <vt:i4>0</vt:i4>
      </vt:variant>
      <vt:variant>
        <vt:i4>5</vt:i4>
      </vt:variant>
      <vt:variant>
        <vt:lpwstr/>
      </vt:variant>
      <vt:variant>
        <vt:lpwstr>_Toc82718326</vt:lpwstr>
      </vt:variant>
      <vt:variant>
        <vt:i4>1179701</vt:i4>
      </vt:variant>
      <vt:variant>
        <vt:i4>188</vt:i4>
      </vt:variant>
      <vt:variant>
        <vt:i4>0</vt:i4>
      </vt:variant>
      <vt:variant>
        <vt:i4>5</vt:i4>
      </vt:variant>
      <vt:variant>
        <vt:lpwstr/>
      </vt:variant>
      <vt:variant>
        <vt:lpwstr>_Toc82718325</vt:lpwstr>
      </vt:variant>
      <vt:variant>
        <vt:i4>1245237</vt:i4>
      </vt:variant>
      <vt:variant>
        <vt:i4>185</vt:i4>
      </vt:variant>
      <vt:variant>
        <vt:i4>0</vt:i4>
      </vt:variant>
      <vt:variant>
        <vt:i4>5</vt:i4>
      </vt:variant>
      <vt:variant>
        <vt:lpwstr/>
      </vt:variant>
      <vt:variant>
        <vt:lpwstr>_Toc82718324</vt:lpwstr>
      </vt:variant>
      <vt:variant>
        <vt:i4>1310773</vt:i4>
      </vt:variant>
      <vt:variant>
        <vt:i4>182</vt:i4>
      </vt:variant>
      <vt:variant>
        <vt:i4>0</vt:i4>
      </vt:variant>
      <vt:variant>
        <vt:i4>5</vt:i4>
      </vt:variant>
      <vt:variant>
        <vt:lpwstr/>
      </vt:variant>
      <vt:variant>
        <vt:lpwstr>_Toc82718323</vt:lpwstr>
      </vt:variant>
      <vt:variant>
        <vt:i4>1376309</vt:i4>
      </vt:variant>
      <vt:variant>
        <vt:i4>179</vt:i4>
      </vt:variant>
      <vt:variant>
        <vt:i4>0</vt:i4>
      </vt:variant>
      <vt:variant>
        <vt:i4>5</vt:i4>
      </vt:variant>
      <vt:variant>
        <vt:lpwstr/>
      </vt:variant>
      <vt:variant>
        <vt:lpwstr>_Toc82718322</vt:lpwstr>
      </vt:variant>
      <vt:variant>
        <vt:i4>1441845</vt:i4>
      </vt:variant>
      <vt:variant>
        <vt:i4>176</vt:i4>
      </vt:variant>
      <vt:variant>
        <vt:i4>0</vt:i4>
      </vt:variant>
      <vt:variant>
        <vt:i4>5</vt:i4>
      </vt:variant>
      <vt:variant>
        <vt:lpwstr/>
      </vt:variant>
      <vt:variant>
        <vt:lpwstr>_Toc82718321</vt:lpwstr>
      </vt:variant>
      <vt:variant>
        <vt:i4>1507381</vt:i4>
      </vt:variant>
      <vt:variant>
        <vt:i4>173</vt:i4>
      </vt:variant>
      <vt:variant>
        <vt:i4>0</vt:i4>
      </vt:variant>
      <vt:variant>
        <vt:i4>5</vt:i4>
      </vt:variant>
      <vt:variant>
        <vt:lpwstr/>
      </vt:variant>
      <vt:variant>
        <vt:lpwstr>_Toc82718320</vt:lpwstr>
      </vt:variant>
      <vt:variant>
        <vt:i4>1966134</vt:i4>
      </vt:variant>
      <vt:variant>
        <vt:i4>170</vt:i4>
      </vt:variant>
      <vt:variant>
        <vt:i4>0</vt:i4>
      </vt:variant>
      <vt:variant>
        <vt:i4>5</vt:i4>
      </vt:variant>
      <vt:variant>
        <vt:lpwstr/>
      </vt:variant>
      <vt:variant>
        <vt:lpwstr>_Toc82718319</vt:lpwstr>
      </vt:variant>
      <vt:variant>
        <vt:i4>2031670</vt:i4>
      </vt:variant>
      <vt:variant>
        <vt:i4>167</vt:i4>
      </vt:variant>
      <vt:variant>
        <vt:i4>0</vt:i4>
      </vt:variant>
      <vt:variant>
        <vt:i4>5</vt:i4>
      </vt:variant>
      <vt:variant>
        <vt:lpwstr/>
      </vt:variant>
      <vt:variant>
        <vt:lpwstr>_Toc82718318</vt:lpwstr>
      </vt:variant>
      <vt:variant>
        <vt:i4>1048630</vt:i4>
      </vt:variant>
      <vt:variant>
        <vt:i4>164</vt:i4>
      </vt:variant>
      <vt:variant>
        <vt:i4>0</vt:i4>
      </vt:variant>
      <vt:variant>
        <vt:i4>5</vt:i4>
      </vt:variant>
      <vt:variant>
        <vt:lpwstr/>
      </vt:variant>
      <vt:variant>
        <vt:lpwstr>_Toc82718317</vt:lpwstr>
      </vt:variant>
      <vt:variant>
        <vt:i4>1114166</vt:i4>
      </vt:variant>
      <vt:variant>
        <vt:i4>161</vt:i4>
      </vt:variant>
      <vt:variant>
        <vt:i4>0</vt:i4>
      </vt:variant>
      <vt:variant>
        <vt:i4>5</vt:i4>
      </vt:variant>
      <vt:variant>
        <vt:lpwstr/>
      </vt:variant>
      <vt:variant>
        <vt:lpwstr>_Toc82718316</vt:lpwstr>
      </vt:variant>
      <vt:variant>
        <vt:i4>1179702</vt:i4>
      </vt:variant>
      <vt:variant>
        <vt:i4>137</vt:i4>
      </vt:variant>
      <vt:variant>
        <vt:i4>0</vt:i4>
      </vt:variant>
      <vt:variant>
        <vt:i4>5</vt:i4>
      </vt:variant>
      <vt:variant>
        <vt:lpwstr/>
      </vt:variant>
      <vt:variant>
        <vt:lpwstr>_Toc82718315</vt:lpwstr>
      </vt:variant>
      <vt:variant>
        <vt:i4>1245238</vt:i4>
      </vt:variant>
      <vt:variant>
        <vt:i4>134</vt:i4>
      </vt:variant>
      <vt:variant>
        <vt:i4>0</vt:i4>
      </vt:variant>
      <vt:variant>
        <vt:i4>5</vt:i4>
      </vt:variant>
      <vt:variant>
        <vt:lpwstr/>
      </vt:variant>
      <vt:variant>
        <vt:lpwstr>_Toc82718314</vt:lpwstr>
      </vt:variant>
      <vt:variant>
        <vt:i4>1310774</vt:i4>
      </vt:variant>
      <vt:variant>
        <vt:i4>131</vt:i4>
      </vt:variant>
      <vt:variant>
        <vt:i4>0</vt:i4>
      </vt:variant>
      <vt:variant>
        <vt:i4>5</vt:i4>
      </vt:variant>
      <vt:variant>
        <vt:lpwstr/>
      </vt:variant>
      <vt:variant>
        <vt:lpwstr>_Toc82718313</vt:lpwstr>
      </vt:variant>
      <vt:variant>
        <vt:i4>1376310</vt:i4>
      </vt:variant>
      <vt:variant>
        <vt:i4>128</vt:i4>
      </vt:variant>
      <vt:variant>
        <vt:i4>0</vt:i4>
      </vt:variant>
      <vt:variant>
        <vt:i4>5</vt:i4>
      </vt:variant>
      <vt:variant>
        <vt:lpwstr/>
      </vt:variant>
      <vt:variant>
        <vt:lpwstr>_Toc82718312</vt:lpwstr>
      </vt:variant>
      <vt:variant>
        <vt:i4>1441846</vt:i4>
      </vt:variant>
      <vt:variant>
        <vt:i4>125</vt:i4>
      </vt:variant>
      <vt:variant>
        <vt:i4>0</vt:i4>
      </vt:variant>
      <vt:variant>
        <vt:i4>5</vt:i4>
      </vt:variant>
      <vt:variant>
        <vt:lpwstr/>
      </vt:variant>
      <vt:variant>
        <vt:lpwstr>_Toc82718311</vt:lpwstr>
      </vt:variant>
      <vt:variant>
        <vt:i4>3866703</vt:i4>
      </vt:variant>
      <vt:variant>
        <vt:i4>0</vt:i4>
      </vt:variant>
      <vt:variant>
        <vt:i4>0</vt:i4>
      </vt:variant>
      <vt:variant>
        <vt:i4>5</vt:i4>
      </vt:variant>
      <vt:variant>
        <vt:lpwstr>mailto:lei.bao@ericsson.com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2022-02-14T21:59:00Z</dcterms:created>
  <dcterms:modified xsi:type="dcterms:W3CDTF">2022-02-14T22:00:00Z</dcterms:modified>
  <cp:category/>
</cp:coreProperties>
</file>